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79" w:rsidRPr="000A40D2" w:rsidRDefault="00B41579" w:rsidP="00B41579">
      <w:pPr>
        <w:widowControl/>
        <w:textAlignment w:val="center"/>
        <w:rPr>
          <w:rFonts w:ascii="黑体" w:eastAsia="黑体" w:hAnsi="黑体" w:cs="宋体"/>
          <w:kern w:val="0"/>
          <w:lang w:bidi="ar"/>
        </w:rPr>
      </w:pPr>
      <w:r w:rsidRPr="000A40D2">
        <w:rPr>
          <w:rFonts w:ascii="黑体" w:eastAsia="黑体" w:hAnsi="黑体" w:cs="宋体" w:hint="eastAsia"/>
          <w:kern w:val="0"/>
          <w:lang w:bidi="ar"/>
        </w:rPr>
        <w:t>附件2</w:t>
      </w:r>
    </w:p>
    <w:p w:rsidR="00B41579" w:rsidRPr="000A40D2" w:rsidRDefault="00B41579" w:rsidP="00B41579">
      <w:pPr>
        <w:spacing w:line="600" w:lineRule="exact"/>
        <w:jc w:val="center"/>
        <w:rPr>
          <w:rFonts w:eastAsia="方正小标宋简体"/>
          <w:sz w:val="44"/>
          <w:szCs w:val="44"/>
        </w:rPr>
      </w:pPr>
      <w:r w:rsidRPr="000A40D2">
        <w:rPr>
          <w:rFonts w:eastAsia="方正小标宋简体"/>
          <w:sz w:val="44"/>
          <w:szCs w:val="44"/>
        </w:rPr>
        <w:t>不符合规定项目的小知识</w:t>
      </w:r>
    </w:p>
    <w:p w:rsidR="00B41579" w:rsidRPr="000A40D2" w:rsidRDefault="00B41579" w:rsidP="00B41579">
      <w:pPr>
        <w:spacing w:line="600" w:lineRule="exact"/>
        <w:jc w:val="center"/>
        <w:rPr>
          <w:rFonts w:eastAsia="仿宋"/>
          <w:szCs w:val="21"/>
        </w:rPr>
      </w:pPr>
    </w:p>
    <w:p w:rsidR="00B41579" w:rsidRPr="000A40D2" w:rsidRDefault="00B41579" w:rsidP="00B41579">
      <w:pPr>
        <w:numPr>
          <w:ilvl w:val="0"/>
          <w:numId w:val="1"/>
        </w:numPr>
        <w:spacing w:line="600" w:lineRule="exact"/>
        <w:ind w:firstLineChars="200" w:firstLine="640"/>
      </w:pPr>
      <w:r w:rsidRPr="000A40D2">
        <w:rPr>
          <w:rFonts w:hAnsi="仿宋_GB2312" w:cs="仿宋_GB2312" w:hint="eastAsia"/>
        </w:rPr>
        <w:t>中药饮片浸出物、含量测定可以反映中药饮片内在成分含量。中药材产地、生长年限、采收季节及饮片加工方式、炮制工艺等环节不规范，均可能导致其浸出物、含量不符合规定。</w:t>
      </w:r>
    </w:p>
    <w:p w:rsidR="00B41579" w:rsidRPr="000A40D2" w:rsidRDefault="00B41579" w:rsidP="00B41579">
      <w:pPr>
        <w:numPr>
          <w:ilvl w:val="0"/>
          <w:numId w:val="1"/>
        </w:numPr>
        <w:spacing w:line="600" w:lineRule="exact"/>
        <w:ind w:firstLineChars="200" w:firstLine="640"/>
      </w:pPr>
      <w:r w:rsidRPr="000A40D2">
        <w:rPr>
          <w:rFonts w:hint="eastAsia"/>
        </w:rPr>
        <w:t>微生物限度系对非直接进入人体内环境的药物制剂的微生物控制要求。由于此类药物制剂的用药风险略低，可以允许一定数量的微生物存在，但不得检出一些条件致病菌。微生物限度分为计数检查和控制菌检查两部分。</w:t>
      </w:r>
    </w:p>
    <w:p w:rsidR="00B41579" w:rsidRPr="000A40D2" w:rsidRDefault="00B41579" w:rsidP="00B41579">
      <w:pPr>
        <w:numPr>
          <w:ilvl w:val="0"/>
          <w:numId w:val="1"/>
        </w:numPr>
        <w:spacing w:line="600" w:lineRule="exact"/>
        <w:ind w:firstLineChars="200" w:firstLine="640"/>
      </w:pPr>
      <w:r w:rsidRPr="000A40D2">
        <w:rPr>
          <w:rFonts w:hint="eastAsia"/>
        </w:rPr>
        <w:t>灰分系药品经过高温灼烧后所残留的无机物质，主要是无机盐和矿物盐类。总灰分测定的目的是保证中药品质和洁净程度。</w:t>
      </w:r>
    </w:p>
    <w:p w:rsidR="00B41579" w:rsidRPr="000A40D2" w:rsidRDefault="00B41579" w:rsidP="00B41579">
      <w:pPr>
        <w:numPr>
          <w:ilvl w:val="0"/>
          <w:numId w:val="1"/>
        </w:numPr>
        <w:spacing w:line="600" w:lineRule="exact"/>
        <w:ind w:firstLineChars="200" w:firstLine="640"/>
      </w:pPr>
      <w:r w:rsidRPr="000A40D2">
        <w:t>药品标准中的性状项记载药品的外观、臭、味、溶解度以及物理常数等</w:t>
      </w:r>
      <w:r w:rsidRPr="000A40D2">
        <w:rPr>
          <w:rFonts w:hint="eastAsia"/>
        </w:rPr>
        <w:t>，</w:t>
      </w:r>
      <w:r w:rsidRPr="000A40D2">
        <w:t>在一定程度上反映药品的质量特性。中药饮片性状项不符合规定，可能涉及药材种属偏差、炮制工艺有瑕疵、储存不当等情形。</w:t>
      </w:r>
    </w:p>
    <w:p w:rsidR="00513846" w:rsidRPr="00B41579" w:rsidRDefault="00513846">
      <w:bookmarkStart w:id="0" w:name="_GoBack"/>
      <w:bookmarkEnd w:id="0"/>
    </w:p>
    <w:sectPr w:rsidR="00513846" w:rsidRPr="00B41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F2" w:rsidRDefault="005D6BF2" w:rsidP="00B41579">
      <w:r>
        <w:separator/>
      </w:r>
    </w:p>
  </w:endnote>
  <w:endnote w:type="continuationSeparator" w:id="0">
    <w:p w:rsidR="005D6BF2" w:rsidRDefault="005D6BF2" w:rsidP="00B4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F2" w:rsidRDefault="005D6BF2" w:rsidP="00B41579">
      <w:r>
        <w:separator/>
      </w:r>
    </w:p>
  </w:footnote>
  <w:footnote w:type="continuationSeparator" w:id="0">
    <w:p w:rsidR="005D6BF2" w:rsidRDefault="005D6BF2" w:rsidP="00B415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6410B4"/>
    <w:multiLevelType w:val="singleLevel"/>
    <w:tmpl w:val="A76410B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34"/>
    <w:rsid w:val="00513846"/>
    <w:rsid w:val="005D6BF2"/>
    <w:rsid w:val="00683734"/>
    <w:rsid w:val="00B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6AB569-9D3F-490E-934B-1DD93B3A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579"/>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5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1579"/>
    <w:rPr>
      <w:sz w:val="18"/>
      <w:szCs w:val="18"/>
    </w:rPr>
  </w:style>
  <w:style w:type="paragraph" w:styleId="a5">
    <w:name w:val="footer"/>
    <w:basedOn w:val="a"/>
    <w:link w:val="a6"/>
    <w:uiPriority w:val="99"/>
    <w:unhideWhenUsed/>
    <w:rsid w:val="00B41579"/>
    <w:pPr>
      <w:tabs>
        <w:tab w:val="center" w:pos="4153"/>
        <w:tab w:val="right" w:pos="8306"/>
      </w:tabs>
      <w:snapToGrid w:val="0"/>
      <w:jc w:val="left"/>
    </w:pPr>
    <w:rPr>
      <w:sz w:val="18"/>
      <w:szCs w:val="18"/>
    </w:rPr>
  </w:style>
  <w:style w:type="character" w:customStyle="1" w:styleId="a6">
    <w:name w:val="页脚 字符"/>
    <w:basedOn w:val="a0"/>
    <w:link w:val="a5"/>
    <w:uiPriority w:val="99"/>
    <w:rsid w:val="00B41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刘珊珊</dc:creator>
  <cp:keywords/>
  <dc:description/>
  <cp:lastModifiedBy>刘珊珊</cp:lastModifiedBy>
  <cp:revision>2</cp:revision>
  <dcterms:created xsi:type="dcterms:W3CDTF">2020-11-27T10:09:00Z</dcterms:created>
  <dcterms:modified xsi:type="dcterms:W3CDTF">2020-11-27T10:09:00Z</dcterms:modified>
</cp:coreProperties>
</file>