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9"/>
        </w:rPr>
      </w:pPr>
    </w:p>
    <w:p>
      <w:pPr>
        <w:pStyle w:val="Heading1"/>
        <w:spacing w:line="273" w:lineRule="auto" w:before="58"/>
        <w:ind w:left="451" w:right="384" w:hanging="2"/>
        <w:jc w:val="center"/>
      </w:pPr>
      <w:r>
        <w:rPr>
          <w:rFonts w:ascii="Times New Roman" w:eastAsia="Times New Roman"/>
        </w:rPr>
        <w:t>2017 </w:t>
      </w:r>
      <w:r>
        <w:rPr>
          <w:spacing w:val="-2"/>
        </w:rPr>
        <w:t>年京津冀公立医院止血类</w:t>
      </w:r>
      <w:r>
        <w:rPr/>
        <w:t>（</w:t>
      </w:r>
      <w:r>
        <w:rPr>
          <w:rFonts w:ascii="Times New Roman" w:eastAsia="Times New Roman"/>
        </w:rPr>
        <w:t>III </w:t>
      </w:r>
      <w:r>
        <w:rPr/>
        <w:t>类</w:t>
      </w:r>
      <w:r>
        <w:rPr>
          <w:spacing w:val="-220"/>
        </w:rPr>
        <w:t>）</w:t>
      </w:r>
      <w:r>
        <w:rPr/>
        <w:t>、</w:t>
      </w:r>
      <w:r>
        <w:rPr>
          <w:spacing w:val="-1"/>
        </w:rPr>
        <w:t>防粘连类</w:t>
      </w:r>
      <w:r>
        <w:rPr/>
        <w:t>（</w:t>
      </w:r>
      <w:r>
        <w:rPr>
          <w:rFonts w:ascii="Times New Roman" w:eastAsia="Times New Roman"/>
        </w:rPr>
        <w:t>III </w:t>
      </w:r>
      <w:r>
        <w:rPr/>
        <w:t>类）</w:t>
      </w:r>
      <w:r>
        <w:rPr>
          <w:spacing w:val="-2"/>
        </w:rPr>
        <w:t>医用耗材联合采购项目采购文件</w:t>
      </w:r>
    </w:p>
    <w:p>
      <w:pPr>
        <w:pStyle w:val="BodyText"/>
        <w:ind w:left="0"/>
        <w:rPr>
          <w:rFonts w:ascii="PMingLiU"/>
          <w:sz w:val="52"/>
        </w:rPr>
      </w:pPr>
    </w:p>
    <w:p>
      <w:pPr>
        <w:pStyle w:val="BodyText"/>
        <w:spacing w:before="7"/>
        <w:ind w:left="0"/>
        <w:rPr>
          <w:rFonts w:ascii="PMingLiU"/>
          <w:sz w:val="43"/>
        </w:rPr>
      </w:pPr>
    </w:p>
    <w:p>
      <w:pPr>
        <w:pStyle w:val="BodyText"/>
        <w:ind w:left="2202" w:right="2136"/>
        <w:jc w:val="center"/>
        <w:rPr>
          <w:rFonts w:ascii="Times New Roman" w:eastAsia="Times New Roman"/>
        </w:rPr>
      </w:pPr>
      <w:r>
        <w:rPr/>
        <w:t>项目编号：</w:t>
      </w:r>
      <w:r>
        <w:rPr>
          <w:rFonts w:ascii="Times New Roman" w:eastAsia="Times New Roman"/>
        </w:rPr>
        <w:t>TJMPC-2017-HC-03</w:t>
      </w: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ind w:left="0"/>
        <w:rPr>
          <w:rFonts w:ascii="Times New Roman"/>
          <w:sz w:val="34"/>
        </w:rPr>
      </w:pPr>
    </w:p>
    <w:p>
      <w:pPr>
        <w:pStyle w:val="BodyText"/>
        <w:spacing w:before="299"/>
        <w:ind w:left="2202" w:right="2137"/>
        <w:jc w:val="center"/>
      </w:pPr>
      <w:r>
        <w:rPr/>
        <w:t>天津市医药采购中心</w:t>
      </w:r>
    </w:p>
    <w:p>
      <w:pPr>
        <w:pStyle w:val="BodyText"/>
        <w:spacing w:before="211"/>
        <w:ind w:left="2202" w:right="2139"/>
        <w:jc w:val="center"/>
        <w:rPr>
          <w:rFonts w:ascii="Times New Roman"/>
        </w:rPr>
      </w:pPr>
      <w:r>
        <w:rPr>
          <w:rFonts w:ascii="Times New Roman"/>
        </w:rPr>
        <w:t>Tianjin Medical Purchasing Center</w:t>
      </w:r>
    </w:p>
    <w:p>
      <w:pPr>
        <w:pStyle w:val="BodyText"/>
        <w:spacing w:before="211"/>
        <w:ind w:left="2202" w:right="2137"/>
        <w:jc w:val="center"/>
      </w:pPr>
      <w:r>
        <w:rPr/>
        <w:t>二零一七年十一月</w:t>
      </w:r>
    </w:p>
    <w:p>
      <w:pPr>
        <w:spacing w:after="0"/>
        <w:jc w:val="center"/>
        <w:sectPr>
          <w:type w:val="continuous"/>
          <w:pgSz w:w="11910" w:h="16840"/>
          <w:pgMar w:top="1580" w:bottom="280" w:left="1680" w:right="1360"/>
        </w:sectPr>
      </w:pPr>
    </w:p>
    <w:p>
      <w:pPr>
        <w:pStyle w:val="Heading3"/>
        <w:spacing w:line="515" w:lineRule="exact"/>
        <w:ind w:left="1822" w:right="2139"/>
        <w:jc w:val="center"/>
      </w:pPr>
      <w:r>
        <w:rPr/>
        <w:drawing>
          <wp:anchor distT="0" distB="0" distL="0" distR="0" allowOverlap="1" layoutInCell="1" locked="0" behindDoc="0" simplePos="0" relativeHeight="1528">
            <wp:simplePos x="0" y="0"/>
            <wp:positionH relativeFrom="page">
              <wp:posOffset>3436939</wp:posOffset>
            </wp:positionH>
            <wp:positionV relativeFrom="page">
              <wp:posOffset>5663984</wp:posOffset>
            </wp:positionV>
            <wp:extent cx="97251" cy="24765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7251" cy="247650"/>
                    </a:xfrm>
                    <a:prstGeom prst="rect">
                      <a:avLst/>
                    </a:prstGeom>
                  </pic:spPr>
                </pic:pic>
              </a:graphicData>
            </a:graphic>
          </wp:anchor>
        </w:drawing>
      </w:r>
      <w:r>
        <w:rPr/>
        <w:pict>
          <v:group style="position:absolute;margin-left:270.625183pt;margin-top:599.99353pt;width:7.7pt;height:7.7pt;mso-position-horizontal-relative:page;mso-position-vertical-relative:page;z-index:1552" coordorigin="5413,12000" coordsize="154,154">
            <v:shape style="position:absolute;left:5412;top:11999;width:154;height:154" type="#_x0000_t75" stroked="false">
              <v:imagedata r:id="rId6" o:title=""/>
            </v:shape>
            <v:shape style="position:absolute;left:5412;top:11999;width:154;height:154" type="#_x0000_t75" stroked="false">
              <v:imagedata r:id="rId6" o:title=""/>
            </v:shape>
            <w10:wrap type="none"/>
          </v:group>
        </w:pict>
      </w:r>
      <w:r>
        <w:rPr/>
        <w:drawing>
          <wp:anchor distT="0" distB="0" distL="0" distR="0" allowOverlap="1" layoutInCell="1" locked="0" behindDoc="0" simplePos="0" relativeHeight="1576">
            <wp:simplePos x="0" y="0"/>
            <wp:positionH relativeFrom="page">
              <wp:posOffset>3436939</wp:posOffset>
            </wp:positionH>
            <wp:positionV relativeFrom="page">
              <wp:posOffset>8014020</wp:posOffset>
            </wp:positionV>
            <wp:extent cx="97035" cy="252412"/>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7035" cy="25241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0.702499pt;margin-top:538.893005pt;width:271.350pt;height:63pt;mso-position-horizontal-relative:page;mso-position-vertical-relative:page;z-index:1648"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3"/>
                    <w:gridCol w:w="1033"/>
                    <w:gridCol w:w="800"/>
                    <w:gridCol w:w="467"/>
                    <w:gridCol w:w="1033"/>
                    <w:gridCol w:w="1033"/>
                  </w:tblGrid>
                  <w:tr>
                    <w:trPr>
                      <w:trHeight w:val="446" w:hRule="atLeast"/>
                    </w:trPr>
                    <w:tc>
                      <w:tcPr>
                        <w:tcW w:w="2066" w:type="dxa"/>
                        <w:gridSpan w:val="2"/>
                      </w:tcPr>
                      <w:p>
                        <w:pPr>
                          <w:pStyle w:val="TableParagraph"/>
                          <w:spacing w:before="39"/>
                          <w:ind w:left="277"/>
                          <w:rPr>
                            <w:b/>
                            <w:sz w:val="19"/>
                          </w:rPr>
                        </w:pPr>
                        <w:r>
                          <w:rPr>
                            <w:b/>
                            <w:sz w:val="19"/>
                          </w:rPr>
                          <w:t>企业确认议价结果</w:t>
                        </w:r>
                      </w:p>
                    </w:tc>
                    <w:tc>
                      <w:tcPr>
                        <w:tcW w:w="3333" w:type="dxa"/>
                        <w:gridSpan w:val="4"/>
                        <w:tcBorders>
                          <w:top w:val="nil"/>
                          <w:bottom w:val="nil"/>
                          <w:right w:val="nil"/>
                        </w:tcBorders>
                      </w:tcPr>
                      <w:p>
                        <w:pPr>
                          <w:pStyle w:val="TableParagraph"/>
                          <w:spacing w:before="18"/>
                          <w:rPr>
                            <w:b/>
                            <w:sz w:val="3"/>
                          </w:rPr>
                        </w:pPr>
                      </w:p>
                      <w:p>
                        <w:pPr>
                          <w:pStyle w:val="TableParagraph"/>
                          <w:ind w:left="2222"/>
                          <w:rPr>
                            <w:sz w:val="20"/>
                          </w:rPr>
                        </w:pPr>
                        <w:r>
                          <w:rPr>
                            <w:sz w:val="20"/>
                          </w:rPr>
                          <w:drawing>
                            <wp:inline distT="0" distB="0" distL="0" distR="0">
                              <wp:extent cx="97429" cy="242887"/>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97429" cy="242887"/>
                                      </a:xfrm>
                                      <a:prstGeom prst="rect">
                                        <a:avLst/>
                                      </a:prstGeom>
                                    </pic:spPr>
                                  </pic:pic>
                                </a:graphicData>
                              </a:graphic>
                            </wp:inline>
                          </w:drawing>
                        </w:r>
                        <w:r>
                          <w:rPr>
                            <w:sz w:val="20"/>
                          </w:rPr>
                        </w:r>
                      </w:p>
                    </w:tc>
                  </w:tr>
                  <w:tr>
                    <w:trPr>
                      <w:trHeight w:val="437" w:hRule="atLeast"/>
                    </w:trPr>
                    <w:tc>
                      <w:tcPr>
                        <w:tcW w:w="1033" w:type="dxa"/>
                        <w:vMerge w:val="restart"/>
                        <w:tcBorders>
                          <w:left w:val="nil"/>
                          <w:bottom w:val="nil"/>
                        </w:tcBorders>
                      </w:tcPr>
                      <w:p>
                        <w:pPr>
                          <w:pStyle w:val="TableParagraph"/>
                          <w:rPr>
                            <w:rFonts w:ascii="Times New Roman"/>
                            <w:sz w:val="18"/>
                          </w:rPr>
                        </w:pPr>
                      </w:p>
                    </w:tc>
                    <w:tc>
                      <w:tcPr>
                        <w:tcW w:w="2300" w:type="dxa"/>
                        <w:gridSpan w:val="3"/>
                        <w:vMerge w:val="restart"/>
                        <w:tcBorders>
                          <w:top w:val="nil"/>
                        </w:tcBorders>
                      </w:tcPr>
                      <w:p>
                        <w:pPr>
                          <w:pStyle w:val="TableParagraph"/>
                          <w:rPr>
                            <w:rFonts w:ascii="Times New Roman"/>
                            <w:sz w:val="18"/>
                          </w:rPr>
                        </w:pPr>
                      </w:p>
                    </w:tc>
                    <w:tc>
                      <w:tcPr>
                        <w:tcW w:w="2066" w:type="dxa"/>
                        <w:gridSpan w:val="2"/>
                      </w:tcPr>
                      <w:p>
                        <w:pPr>
                          <w:pStyle w:val="TableParagraph"/>
                          <w:spacing w:before="31"/>
                          <w:ind w:left="97"/>
                          <w:rPr>
                            <w:b/>
                            <w:sz w:val="19"/>
                          </w:rPr>
                        </w:pPr>
                        <w:r>
                          <w:rPr>
                            <w:b/>
                            <w:sz w:val="19"/>
                          </w:rPr>
                          <w:t>相关产品转为重点监控</w:t>
                        </w:r>
                      </w:p>
                    </w:tc>
                  </w:tr>
                  <w:tr>
                    <w:trPr>
                      <w:trHeight w:val="60" w:hRule="atLeast"/>
                    </w:trPr>
                    <w:tc>
                      <w:tcPr>
                        <w:tcW w:w="1033" w:type="dxa"/>
                        <w:vMerge/>
                        <w:tcBorders>
                          <w:top w:val="nil"/>
                          <w:left w:val="nil"/>
                          <w:bottom w:val="nil"/>
                        </w:tcBorders>
                      </w:tcPr>
                      <w:p>
                        <w:pPr>
                          <w:rPr>
                            <w:sz w:val="2"/>
                            <w:szCs w:val="2"/>
                          </w:rPr>
                        </w:pPr>
                      </w:p>
                    </w:tc>
                    <w:tc>
                      <w:tcPr>
                        <w:tcW w:w="2300" w:type="dxa"/>
                        <w:gridSpan w:val="3"/>
                        <w:vMerge/>
                        <w:tcBorders>
                          <w:top w:val="nil"/>
                        </w:tcBorders>
                      </w:tcPr>
                      <w:p>
                        <w:pPr>
                          <w:rPr>
                            <w:sz w:val="2"/>
                            <w:szCs w:val="2"/>
                          </w:rPr>
                        </w:pPr>
                      </w:p>
                    </w:tc>
                    <w:tc>
                      <w:tcPr>
                        <w:tcW w:w="1033" w:type="dxa"/>
                        <w:tcBorders>
                          <w:left w:val="nil"/>
                          <w:right w:val="nil"/>
                        </w:tcBorders>
                      </w:tcPr>
                      <w:p>
                        <w:pPr>
                          <w:pStyle w:val="TableParagraph"/>
                          <w:rPr>
                            <w:rFonts w:ascii="Times New Roman"/>
                            <w:sz w:val="2"/>
                          </w:rPr>
                        </w:pPr>
                      </w:p>
                    </w:tc>
                    <w:tc>
                      <w:tcPr>
                        <w:tcW w:w="1033" w:type="dxa"/>
                        <w:tcBorders>
                          <w:left w:val="nil"/>
                          <w:bottom w:val="nil"/>
                          <w:right w:val="nil"/>
                        </w:tcBorders>
                      </w:tcPr>
                      <w:p>
                        <w:pPr>
                          <w:pStyle w:val="TableParagraph"/>
                          <w:rPr>
                            <w:rFonts w:ascii="Times New Roman"/>
                            <w:sz w:val="2"/>
                          </w:rPr>
                        </w:pPr>
                      </w:p>
                    </w:tc>
                  </w:tr>
                  <w:tr>
                    <w:trPr>
                      <w:trHeight w:val="226" w:hRule="atLeast"/>
                    </w:trPr>
                    <w:tc>
                      <w:tcPr>
                        <w:tcW w:w="2866" w:type="dxa"/>
                        <w:gridSpan w:val="3"/>
                        <w:tcBorders>
                          <w:top w:val="nil"/>
                          <w:left w:val="nil"/>
                          <w:bottom w:val="nil"/>
                        </w:tcBorders>
                      </w:tcPr>
                      <w:p>
                        <w:pPr>
                          <w:pStyle w:val="TableParagraph"/>
                          <w:rPr>
                            <w:rFonts w:ascii="Times New Roman"/>
                            <w:sz w:val="16"/>
                          </w:rPr>
                        </w:pPr>
                      </w:p>
                    </w:tc>
                    <w:tc>
                      <w:tcPr>
                        <w:tcW w:w="2533" w:type="dxa"/>
                        <w:gridSpan w:val="3"/>
                        <w:tcBorders>
                          <w:top w:val="nil"/>
                          <w:bottom w:val="nil"/>
                          <w:right w:val="nil"/>
                        </w:tcBorders>
                      </w:tcPr>
                      <w:p>
                        <w:pPr>
                          <w:pStyle w:val="TableParagraph"/>
                          <w:rPr>
                            <w:rFonts w:ascii="Times New Roman"/>
                            <w:sz w:val="16"/>
                          </w:rPr>
                        </w:pPr>
                      </w:p>
                    </w:tc>
                  </w:tr>
                </w:tbl>
                <w:p>
                  <w:pPr>
                    <w:pStyle w:val="BodyText"/>
                    <w:ind w:left="0"/>
                  </w:pPr>
                </w:p>
              </w:txbxContent>
            </v:textbox>
            <w10:wrap type="none"/>
          </v:shape>
        </w:pict>
      </w:r>
      <w:r>
        <w:rPr/>
        <w:t>工作流程图</w:t>
      </w:r>
    </w:p>
    <w:p>
      <w:pPr>
        <w:pStyle w:val="BodyText"/>
        <w:ind w:left="0"/>
        <w:rPr>
          <w:rFonts w:ascii="Microsoft JhengHei"/>
          <w:b/>
          <w:sz w:val="20"/>
        </w:rPr>
      </w:pPr>
    </w:p>
    <w:p>
      <w:pPr>
        <w:pStyle w:val="BodyText"/>
        <w:spacing w:before="2"/>
        <w:ind w:left="0"/>
        <w:rPr>
          <w:rFonts w:ascii="Microsoft JhengHei"/>
          <w:b/>
          <w:sz w:val="18"/>
        </w:rPr>
      </w:pPr>
      <w:r>
        <w:rPr/>
        <w:pict>
          <v:group style="position:absolute;margin-left:232.368591pt;margin-top:18.648081pt;width:84.25pt;height:73.8pt;mso-position-horizontal-relative:page;mso-position-vertical-relative:paragraph;z-index:1072;mso-wrap-distance-left:0;mso-wrap-distance-right:0" coordorigin="4647,373" coordsize="1685,1476">
            <v:shape style="position:absolute;left:4656;top:381;width:1667;height:467" coordorigin="4656,382" coordsize="1667,467" path="m4890,849l6090,849,6163,837,6227,803,6278,753,6311,689,6323,615,6311,541,6278,477,6227,427,6163,394,6090,382,4890,382,4816,394,4752,427,4701,477,4668,541,4656,615,4668,689,4701,753,4752,803,4816,837,4890,849xe" filled="false" stroked="true" strokeweight=".883017pt" strokecolor="#000000">
              <v:path arrowok="t"/>
              <v:stroke dashstyle="solid"/>
            </v:shape>
            <v:shape style="position:absolute;left:4656;top:1115;width:1667;height:467" coordorigin="4656,1115" coordsize="1667,467" path="m4890,1582l6090,1582,6163,1570,6227,1537,6278,1487,6311,1422,6323,1349,6311,1275,6278,1211,6227,1160,6163,1127,6090,1115,4890,1115,4816,1127,4752,1160,4701,1211,4668,1275,4656,1349,4668,1422,4701,1487,4752,1537,4816,1570,4890,1582xe" filled="false" stroked="true" strokeweight=".883017pt" strokecolor="#000000">
              <v:path arrowok="t"/>
              <v:stroke dashstyle="solid"/>
            </v:shape>
            <v:shape style="position:absolute;left:5412;top:848;width:154;height:267" type="#_x0000_t75" stroked="false">
              <v:imagedata r:id="rId9" o:title=""/>
            </v:shape>
            <v:shape style="position:absolute;left:5412;top:1582;width:154;height:267" type="#_x0000_t75" stroked="false">
              <v:imagedata r:id="rId10" o:title=""/>
            </v:shape>
            <v:shape style="position:absolute;left:4739;top:505;width:1540;height:195" type="#_x0000_t202" filled="false" stroked="false">
              <v:textbox inset="0,0,0,0">
                <w:txbxContent>
                  <w:p>
                    <w:pPr>
                      <w:spacing w:line="194" w:lineRule="exact" w:before="0"/>
                      <w:ind w:left="0" w:right="0" w:firstLine="0"/>
                      <w:jc w:val="left"/>
                      <w:rPr>
                        <w:rFonts w:ascii="Microsoft JhengHei" w:eastAsia="Microsoft JhengHei" w:hint="eastAsia"/>
                        <w:b/>
                        <w:sz w:val="19"/>
                      </w:rPr>
                    </w:pPr>
                    <w:r>
                      <w:rPr>
                        <w:rFonts w:ascii="Microsoft JhengHei" w:eastAsia="Microsoft JhengHei" w:hint="eastAsia"/>
                        <w:b/>
                        <w:sz w:val="19"/>
                      </w:rPr>
                      <w:t>发布集中采购公告</w:t>
                    </w:r>
                  </w:p>
                </w:txbxContent>
              </v:textbox>
              <w10:wrap type="none"/>
            </v:shape>
            <v:shape style="position:absolute;left:4739;top:1240;width:1540;height:195" type="#_x0000_t202" filled="false" stroked="false">
              <v:textbox inset="0,0,0,0">
                <w:txbxContent>
                  <w:p>
                    <w:pPr>
                      <w:spacing w:line="194" w:lineRule="exact" w:before="0"/>
                      <w:ind w:left="0" w:right="0" w:firstLine="0"/>
                      <w:jc w:val="left"/>
                      <w:rPr>
                        <w:rFonts w:ascii="Microsoft JhengHei" w:eastAsia="Microsoft JhengHei" w:hint="eastAsia"/>
                        <w:b/>
                        <w:sz w:val="19"/>
                      </w:rPr>
                    </w:pPr>
                    <w:r>
                      <w:rPr>
                        <w:rFonts w:ascii="Microsoft JhengHei" w:eastAsia="Microsoft JhengHei" w:hint="eastAsia"/>
                        <w:b/>
                        <w:sz w:val="19"/>
                      </w:rPr>
                      <w:t>发布集中采购文件</w:t>
                    </w:r>
                  </w:p>
                </w:txbxContent>
              </v:textbox>
              <w10:wrap type="none"/>
            </v:shape>
            <w10:wrap type="topAndBottom"/>
          </v:group>
        </w:pict>
      </w: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ind w:left="0"/>
        <w:rPr>
          <w:rFonts w:ascii="Microsoft JhengHei"/>
          <w:b/>
          <w:sz w:val="20"/>
        </w:rPr>
      </w:pPr>
    </w:p>
    <w:p>
      <w:pPr>
        <w:pStyle w:val="BodyText"/>
        <w:spacing w:before="5"/>
        <w:ind w:left="0"/>
        <w:rPr>
          <w:rFonts w:ascii="Microsoft JhengHei"/>
          <w:b/>
          <w:sz w:val="23"/>
        </w:rPr>
      </w:pPr>
    </w:p>
    <w:p>
      <w:pPr>
        <w:spacing w:before="15"/>
        <w:ind w:left="912" w:right="2139" w:firstLine="0"/>
        <w:jc w:val="center"/>
        <w:rPr>
          <w:rFonts w:ascii="Microsoft JhengHei" w:eastAsia="Microsoft JhengHei" w:hint="eastAsia"/>
          <w:b/>
          <w:sz w:val="19"/>
        </w:rPr>
      </w:pPr>
      <w:r>
        <w:rPr/>
        <w:drawing>
          <wp:anchor distT="0" distB="0" distL="0" distR="0" allowOverlap="1" layoutInCell="1" locked="0" behindDoc="0" simplePos="0" relativeHeight="1336">
            <wp:simplePos x="0" y="0"/>
            <wp:positionH relativeFrom="page">
              <wp:posOffset>3436939</wp:posOffset>
            </wp:positionH>
            <wp:positionV relativeFrom="paragraph">
              <wp:posOffset>681019</wp:posOffset>
            </wp:positionV>
            <wp:extent cx="97649" cy="214312"/>
            <wp:effectExtent l="0" t="0" r="0" b="0"/>
            <wp:wrapNone/>
            <wp:docPr id="7" name="image7.png" descr=""/>
            <wp:cNvGraphicFramePr>
              <a:graphicFrameLocks noChangeAspect="1"/>
            </wp:cNvGraphicFramePr>
            <a:graphic>
              <a:graphicData uri="http://schemas.openxmlformats.org/drawingml/2006/picture">
                <pic:pic>
                  <pic:nvPicPr>
                    <pic:cNvPr id="8" name="image7.png"/>
                    <pic:cNvPicPr/>
                  </pic:nvPicPr>
                  <pic:blipFill>
                    <a:blip r:embed="rId11" cstate="print"/>
                    <a:stretch>
                      <a:fillRect/>
                    </a:stretch>
                  </pic:blipFill>
                  <pic:spPr>
                    <a:xfrm>
                      <a:off x="0" y="0"/>
                      <a:ext cx="97649" cy="214312"/>
                    </a:xfrm>
                    <a:prstGeom prst="rect">
                      <a:avLst/>
                    </a:prstGeom>
                  </pic:spPr>
                </pic:pic>
              </a:graphicData>
            </a:graphic>
          </wp:anchor>
        </w:drawing>
      </w:r>
      <w:r>
        <w:rPr/>
        <w:pict>
          <v:group style="position:absolute;margin-left:232.368591pt;margin-top:-60.17186pt;width:217.55pt;height:67.4pt;mso-position-horizontal-relative:page;mso-position-vertical-relative:paragraph;z-index:-15112" coordorigin="4647,-1203" coordsize="4351,1348">
            <v:shape style="position:absolute;left:5489;top:-728;width:1718;height:630" coordorigin="5489,-728" coordsize="1718,630" path="m7206,-99l5489,-99,5489,-728e" filled="false" stroked="true" strokeweight=".883007pt" strokecolor="#000000">
              <v:path arrowok="t"/>
              <v:stroke dashstyle="solid"/>
            </v:shape>
            <v:shape style="position:absolute;left:7169;top:-176;width:154;height:154" type="#_x0000_t75" stroked="false">
              <v:imagedata r:id="rId12" o:title=""/>
            </v:shape>
            <v:rect style="position:absolute;left:5808;top:-212;width:567;height:226" filled="true" fillcolor="#ffffff" stroked="false">
              <v:fill type="solid"/>
            </v:rect>
            <v:shape style="position:absolute;left:6439;top:-962;width:1717;height:630" coordorigin="6439,-961" coordsize="1717,630" path="m6439,-961l8156,-961,8156,-332e" filled="false" stroked="true" strokeweight=".883007pt" strokecolor="#000000">
              <v:path arrowok="t"/>
              <v:stroke dashstyle="solid"/>
            </v:shape>
            <v:shape style="position:absolute;left:6322;top:-1039;width:154;height:154" type="#_x0000_t75" stroked="false">
              <v:imagedata r:id="rId13" o:title=""/>
            </v:shape>
            <v:rect style="position:absolute;left:7176;top:-1075;width:756;height:226" filled="true" fillcolor="#ffffff" stroked="false">
              <v:fill type="solid"/>
            </v:rect>
            <v:line style="position:absolute" from="5489,-494" to="5489,93" stroked="true" strokeweight=".882819pt" strokecolor="#000000">
              <v:stroke dashstyle="solid"/>
            </v:line>
            <v:shape style="position:absolute;left:7188;top:-1068;width:780;height:195" type="#_x0000_t202" filled="false" stroked="false">
              <v:textbox inset="0,0,0,0">
                <w:txbxContent>
                  <w:p>
                    <w:pPr>
                      <w:spacing w:line="194" w:lineRule="exact" w:before="0"/>
                      <w:ind w:left="0" w:right="0" w:firstLine="0"/>
                      <w:jc w:val="left"/>
                      <w:rPr>
                        <w:rFonts w:ascii="Microsoft JhengHei" w:eastAsia="Microsoft JhengHei" w:hint="eastAsia"/>
                        <w:b/>
                        <w:sz w:val="19"/>
                      </w:rPr>
                    </w:pPr>
                    <w:r>
                      <w:rPr>
                        <w:rFonts w:ascii="Microsoft JhengHei" w:eastAsia="Microsoft JhengHei" w:hint="eastAsia"/>
                        <w:b/>
                        <w:sz w:val="19"/>
                      </w:rPr>
                      <w:t>提交审核</w:t>
                    </w:r>
                  </w:p>
                </w:txbxContent>
              </v:textbox>
              <w10:wrap type="none"/>
            </v:shape>
            <v:shape style="position:absolute;left:5816;top:-205;width:587;height:195" type="#_x0000_t202" filled="false" stroked="false">
              <v:textbox inset="0,0,0,0">
                <w:txbxContent>
                  <w:p>
                    <w:pPr>
                      <w:spacing w:line="195" w:lineRule="exact" w:before="0"/>
                      <w:ind w:left="0" w:right="0" w:firstLine="0"/>
                      <w:jc w:val="left"/>
                      <w:rPr>
                        <w:rFonts w:ascii="Microsoft JhengHei" w:eastAsia="Microsoft JhengHei" w:hint="eastAsia"/>
                        <w:b/>
                        <w:sz w:val="19"/>
                      </w:rPr>
                    </w:pPr>
                    <w:r>
                      <w:rPr>
                        <w:rFonts w:ascii="Microsoft JhengHei" w:eastAsia="Microsoft JhengHei" w:hint="eastAsia"/>
                        <w:b/>
                        <w:sz w:val="19"/>
                      </w:rPr>
                      <w:t>不通过</w:t>
                    </w:r>
                  </w:p>
                </w:txbxContent>
              </v:textbox>
              <w10:wrap type="none"/>
            </v:shape>
            <v:shape style="position:absolute;left:7322;top:-332;width:1667;height:467" type="#_x0000_t202" filled="false" stroked="true" strokeweight=".883017pt" strokecolor="#000000">
              <v:textbox inset="0,0,0,0">
                <w:txbxContent>
                  <w:p>
                    <w:pPr>
                      <w:spacing w:line="208" w:lineRule="exact" w:before="0"/>
                      <w:ind w:left="254" w:right="222" w:firstLine="0"/>
                      <w:jc w:val="center"/>
                      <w:rPr>
                        <w:rFonts w:ascii="Microsoft JhengHei" w:eastAsia="Microsoft JhengHei" w:hint="eastAsia"/>
                        <w:b/>
                        <w:sz w:val="19"/>
                      </w:rPr>
                    </w:pPr>
                    <w:r>
                      <w:rPr>
                        <w:rFonts w:ascii="Microsoft JhengHei" w:eastAsia="Microsoft JhengHei" w:hint="eastAsia"/>
                        <w:b/>
                        <w:sz w:val="19"/>
                      </w:rPr>
                      <w:t>企业递交</w:t>
                    </w:r>
                  </w:p>
                  <w:p>
                    <w:pPr>
                      <w:spacing w:line="241" w:lineRule="exact" w:before="0"/>
                      <w:ind w:left="265" w:right="222" w:firstLine="0"/>
                      <w:jc w:val="center"/>
                      <w:rPr>
                        <w:rFonts w:ascii="Microsoft JhengHei" w:eastAsia="Microsoft JhengHei" w:hint="eastAsia"/>
                        <w:b/>
                        <w:sz w:val="19"/>
                      </w:rPr>
                    </w:pPr>
                    <w:r>
                      <w:rPr>
                        <w:rFonts w:ascii="Microsoft JhengHei" w:eastAsia="Microsoft JhengHei" w:hint="eastAsia"/>
                        <w:b/>
                        <w:sz w:val="19"/>
                      </w:rPr>
                      <w:t>补充澄清材料</w:t>
                    </w:r>
                  </w:p>
                </w:txbxContent>
              </v:textbox>
              <v:stroke dashstyle="solid"/>
              <w10:wrap type="none"/>
            </v:shape>
            <v:shape style="position:absolute;left:4656;top:-1195;width:1667;height:467" type="#_x0000_t202" filled="false" stroked="true" strokeweight=".883017pt" strokecolor="#000000">
              <v:textbox inset="0,0,0,0">
                <w:txbxContent>
                  <w:p>
                    <w:pPr>
                      <w:spacing w:before="32"/>
                      <w:ind w:left="453" w:right="0" w:firstLine="0"/>
                      <w:jc w:val="left"/>
                      <w:rPr>
                        <w:rFonts w:ascii="Microsoft JhengHei" w:eastAsia="Microsoft JhengHei" w:hint="eastAsia"/>
                        <w:b/>
                        <w:sz w:val="19"/>
                      </w:rPr>
                    </w:pPr>
                    <w:r>
                      <w:rPr>
                        <w:rFonts w:ascii="Microsoft JhengHei" w:eastAsia="Microsoft JhengHei" w:hint="eastAsia"/>
                        <w:b/>
                        <w:sz w:val="19"/>
                      </w:rPr>
                      <w:t>专家审核</w:t>
                    </w:r>
                  </w:p>
                </w:txbxContent>
              </v:textbox>
              <v:stroke dashstyle="solid"/>
              <w10:wrap type="none"/>
            </v:shape>
            <w10:wrap type="none"/>
          </v:group>
        </w:pict>
      </w:r>
      <w:r>
        <w:rPr/>
        <w:drawing>
          <wp:anchor distT="0" distB="0" distL="0" distR="0" allowOverlap="1" layoutInCell="1" locked="0" behindDoc="0" simplePos="0" relativeHeight="1480">
            <wp:simplePos x="0" y="0"/>
            <wp:positionH relativeFrom="page">
              <wp:posOffset>3436939</wp:posOffset>
            </wp:positionH>
            <wp:positionV relativeFrom="paragraph">
              <wp:posOffset>-927924</wp:posOffset>
            </wp:positionV>
            <wp:extent cx="98030" cy="170021"/>
            <wp:effectExtent l="0" t="0" r="0" b="0"/>
            <wp:wrapNone/>
            <wp:docPr id="9" name="image10.png" descr=""/>
            <wp:cNvGraphicFramePr>
              <a:graphicFrameLocks noChangeAspect="1"/>
            </wp:cNvGraphicFramePr>
            <a:graphic>
              <a:graphicData uri="http://schemas.openxmlformats.org/drawingml/2006/picture">
                <pic:pic>
                  <pic:nvPicPr>
                    <pic:cNvPr id="10" name="image10.png"/>
                    <pic:cNvPicPr/>
                  </pic:nvPicPr>
                  <pic:blipFill>
                    <a:blip r:embed="rId14" cstate="print"/>
                    <a:stretch>
                      <a:fillRect/>
                    </a:stretch>
                  </pic:blipFill>
                  <pic:spPr>
                    <a:xfrm>
                      <a:off x="0" y="0"/>
                      <a:ext cx="98030" cy="170021"/>
                    </a:xfrm>
                    <a:prstGeom prst="rect">
                      <a:avLst/>
                    </a:prstGeom>
                  </pic:spPr>
                </pic:pic>
              </a:graphicData>
            </a:graphic>
          </wp:anchor>
        </w:drawing>
      </w:r>
      <w:r>
        <w:rPr/>
        <w:drawing>
          <wp:anchor distT="0" distB="0" distL="0" distR="0" allowOverlap="1" layoutInCell="1" locked="0" behindDoc="0" simplePos="0" relativeHeight="1504">
            <wp:simplePos x="0" y="0"/>
            <wp:positionH relativeFrom="page">
              <wp:posOffset>3436939</wp:posOffset>
            </wp:positionH>
            <wp:positionV relativeFrom="paragraph">
              <wp:posOffset>1191889</wp:posOffset>
            </wp:positionV>
            <wp:extent cx="97649" cy="214312"/>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1" cstate="print"/>
                    <a:stretch>
                      <a:fillRect/>
                    </a:stretch>
                  </pic:blipFill>
                  <pic:spPr>
                    <a:xfrm>
                      <a:off x="0" y="0"/>
                      <a:ext cx="97649" cy="214312"/>
                    </a:xfrm>
                    <a:prstGeom prst="rect">
                      <a:avLst/>
                    </a:prstGeom>
                  </pic:spPr>
                </pic:pic>
              </a:graphicData>
            </a:graphic>
          </wp:anchor>
        </w:drawing>
      </w:r>
      <w:r>
        <w:rPr/>
        <w:pict>
          <v:group style="position:absolute;margin-left:270.625183pt;margin-top:15.926364pt;width:7.7pt;height:14.4pt;mso-position-horizontal-relative:page;mso-position-vertical-relative:paragraph;z-index:-14968" coordorigin="5413,319" coordsize="154,288">
            <v:line style="position:absolute" from="5489,319" to="5489,489" stroked="true" strokeweight=".882819pt" strokecolor="#000000">
              <v:stroke dashstyle="solid"/>
            </v:line>
            <v:shape style="position:absolute;left:5412;top:451;width:154;height:154" type="#_x0000_t75" stroked="false">
              <v:imagedata r:id="rId6" o:title=""/>
            </v:shape>
            <w10:wrap type="none"/>
          </v:group>
        </w:pict>
      </w:r>
      <w:r>
        <w:rPr/>
        <w:pict>
          <v:shape style="position:absolute;margin-left:208.64386pt;margin-top:-96.404266pt;width:131.7pt;height:23.35pt;mso-position-horizontal-relative:page;mso-position-vertical-relative:paragraph;z-index:1624" type="#_x0000_t202" filled="false" stroked="true" strokeweight=".883026pt" strokecolor="#000000">
            <v:textbox inset="0,0,0,0">
              <w:txbxContent>
                <w:p>
                  <w:pPr>
                    <w:spacing w:line="206" w:lineRule="exact" w:before="0"/>
                    <w:ind w:left="70" w:right="53" w:firstLine="0"/>
                    <w:jc w:val="center"/>
                    <w:rPr>
                      <w:rFonts w:ascii="Microsoft JhengHei" w:eastAsia="Microsoft JhengHei" w:hint="eastAsia"/>
                      <w:b/>
                      <w:sz w:val="19"/>
                    </w:rPr>
                  </w:pPr>
                  <w:r>
                    <w:rPr>
                      <w:rFonts w:ascii="Microsoft JhengHei" w:eastAsia="Microsoft JhengHei" w:hint="eastAsia"/>
                      <w:b/>
                      <w:sz w:val="19"/>
                    </w:rPr>
                    <w:t>企业更新企业资质、注册证及</w:t>
                  </w:r>
                </w:p>
                <w:p>
                  <w:pPr>
                    <w:spacing w:line="243" w:lineRule="exact" w:before="0"/>
                    <w:ind w:left="65" w:right="53" w:firstLine="0"/>
                    <w:jc w:val="center"/>
                    <w:rPr>
                      <w:rFonts w:ascii="Microsoft JhengHei" w:eastAsia="Microsoft JhengHei" w:hint="eastAsia"/>
                      <w:b/>
                      <w:sz w:val="19"/>
                    </w:rPr>
                  </w:pPr>
                  <w:r>
                    <w:rPr>
                      <w:rFonts w:ascii="Microsoft JhengHei" w:eastAsia="Microsoft JhengHei" w:hint="eastAsia"/>
                      <w:b/>
                      <w:sz w:val="19"/>
                    </w:rPr>
                    <w:t>总代理</w:t>
                  </w:r>
                </w:p>
              </w:txbxContent>
            </v:textbox>
            <v:stroke dashstyle="solid"/>
            <w10:wrap type="none"/>
          </v:shape>
        </w:pict>
      </w:r>
      <w:r>
        <w:rPr>
          <w:rFonts w:ascii="Microsoft JhengHei" w:eastAsia="Microsoft JhengHei" w:hint="eastAsia"/>
          <w:b/>
          <w:sz w:val="19"/>
        </w:rPr>
        <w:t>审核通过</w:t>
      </w:r>
    </w:p>
    <w:p>
      <w:pPr>
        <w:pStyle w:val="BodyText"/>
        <w:spacing w:before="9"/>
        <w:ind w:left="0"/>
        <w:rPr>
          <w:rFonts w:ascii="Microsoft JhengHei"/>
          <w:b/>
          <w:sz w:val="10"/>
        </w:rPr>
      </w:pPr>
      <w:r>
        <w:rPr/>
        <w:pict>
          <v:shape style="position:absolute;margin-left:232.810104pt;margin-top:12.075815pt;width:83.35pt;height:23.35pt;mso-position-horizontal-relative:page;mso-position-vertical-relative:paragraph;z-index:1096;mso-wrap-distance-left:0;mso-wrap-distance-right:0" type="#_x0000_t202" filled="false" stroked="true" strokeweight=".883017pt" strokecolor="#000000">
            <v:textbox inset="0,0,0,0">
              <w:txbxContent>
                <w:p>
                  <w:pPr>
                    <w:spacing w:before="35"/>
                    <w:ind w:left="453" w:right="0" w:firstLine="0"/>
                    <w:jc w:val="left"/>
                    <w:rPr>
                      <w:rFonts w:ascii="Microsoft JhengHei" w:eastAsia="Microsoft JhengHei" w:hint="eastAsia"/>
                      <w:b/>
                      <w:sz w:val="19"/>
                    </w:rPr>
                  </w:pPr>
                  <w:r>
                    <w:rPr>
                      <w:rFonts w:ascii="Microsoft JhengHei" w:eastAsia="Microsoft JhengHei" w:hint="eastAsia"/>
                      <w:b/>
                      <w:sz w:val="19"/>
                    </w:rPr>
                    <w:t>企业报价</w:t>
                  </w:r>
                </w:p>
              </w:txbxContent>
            </v:textbox>
            <v:stroke dashstyle="solid"/>
            <w10:wrap type="topAndBottom"/>
          </v:shape>
        </w:pict>
      </w:r>
      <w:r>
        <w:rPr/>
        <w:pict>
          <v:shape style="position:absolute;margin-left:224.476395pt;margin-top:52.301853pt;width:100pt;height:23.35pt;mso-position-horizontal-relative:page;mso-position-vertical-relative:paragraph;z-index:1120;mso-wrap-distance-left:0;mso-wrap-distance-right:0" type="#_x0000_t202" filled="false" stroked="true" strokeweight=".883022pt" strokecolor="#000000">
            <v:textbox inset="0,0,0,0">
              <w:txbxContent>
                <w:p>
                  <w:pPr>
                    <w:spacing w:before="36"/>
                    <w:ind w:left="619" w:right="0" w:firstLine="0"/>
                    <w:jc w:val="left"/>
                    <w:rPr>
                      <w:rFonts w:ascii="Microsoft JhengHei" w:eastAsia="Microsoft JhengHei" w:hint="eastAsia"/>
                      <w:b/>
                      <w:sz w:val="19"/>
                    </w:rPr>
                  </w:pPr>
                  <w:r>
                    <w:rPr>
                      <w:rFonts w:ascii="Microsoft JhengHei" w:eastAsia="Microsoft JhengHei" w:hint="eastAsia"/>
                      <w:b/>
                      <w:sz w:val="19"/>
                    </w:rPr>
                    <w:t>报价解密</w:t>
                  </w:r>
                </w:p>
              </w:txbxContent>
            </v:textbox>
            <v:stroke dashstyle="solid"/>
            <w10:wrap type="topAndBottom"/>
          </v:shape>
        </w:pict>
      </w:r>
      <w:r>
        <w:rPr/>
        <w:pict>
          <v:shape style="position:absolute;margin-left:224.476395pt;margin-top:92.516129pt;width:100pt;height:23.35pt;mso-position-horizontal-relative:page;mso-position-vertical-relative:paragraph;z-index:1144;mso-wrap-distance-left:0;mso-wrap-distance-right:0" type="#_x0000_t202" filled="false" stroked="true" strokeweight=".883022pt" strokecolor="#000000">
            <v:textbox inset="0,0,0,0">
              <w:txbxContent>
                <w:p>
                  <w:pPr>
                    <w:spacing w:before="37"/>
                    <w:ind w:left="619" w:right="0" w:firstLine="0"/>
                    <w:jc w:val="left"/>
                    <w:rPr>
                      <w:rFonts w:ascii="Microsoft JhengHei" w:eastAsia="Microsoft JhengHei" w:hint="eastAsia"/>
                      <w:b/>
                      <w:sz w:val="19"/>
                    </w:rPr>
                  </w:pPr>
                  <w:r>
                    <w:rPr>
                      <w:rFonts w:ascii="Microsoft JhengHei" w:eastAsia="Microsoft JhengHei" w:hint="eastAsia"/>
                      <w:b/>
                      <w:sz w:val="19"/>
                    </w:rPr>
                    <w:t>价格公示</w:t>
                  </w:r>
                </w:p>
              </w:txbxContent>
            </v:textbox>
            <v:stroke dashstyle="solid"/>
            <w10:wrap type="topAndBottom"/>
          </v:shape>
        </w:pict>
      </w:r>
      <w:r>
        <w:rPr/>
        <w:pict>
          <v:group style="position:absolute;margin-left:178.964951pt;margin-top:135.00592pt;width:222.65pt;height:78.850pt;mso-position-horizontal-relative:page;mso-position-vertical-relative:paragraph;z-index:1216;mso-wrap-distance-left:0;mso-wrap-distance-right:0" coordorigin="3579,2700" coordsize="4453,1577">
            <v:shape style="position:absolute;left:3656;top:3175;width:1834;height:893" coordorigin="3656,3176" coordsize="1834,893" path="m3656,4068l3656,3514,5489,3514,5489,3176e" filled="false" stroked="true" strokeweight=".882991pt" strokecolor="#000000">
              <v:path arrowok="t"/>
              <v:stroke dashstyle="solid"/>
            </v:shape>
            <v:shape style="position:absolute;left:3579;top:4030;width:154;height:154" type="#_x0000_t75" stroked="false">
              <v:imagedata r:id="rId15" o:title=""/>
            </v:shape>
            <v:shape style="position:absolute;left:5489;top:3175;width:1500;height:509" coordorigin="5489,3176" coordsize="1500,509" path="m6989,3684l6989,3514,5489,3514,5489,3176e" filled="false" stroked="true" strokeweight=".88301pt" strokecolor="#000000">
              <v:path arrowok="t"/>
              <v:stroke dashstyle="solid"/>
            </v:shape>
            <v:shape style="position:absolute;left:6912;top:3646;width:154;height:154" type="#_x0000_t75" stroked="false">
              <v:imagedata r:id="rId16" o:title=""/>
            </v:shape>
            <v:shape style="position:absolute;left:4456;top:2708;width:2067;height:467" type="#_x0000_t202" filled="false" stroked="true" strokeweight=".883022pt" strokecolor="#000000">
              <v:textbox inset="0,0,0,0">
                <w:txbxContent>
                  <w:p>
                    <w:pPr>
                      <w:spacing w:before="38"/>
                      <w:ind w:left="653" w:right="0" w:firstLine="0"/>
                      <w:jc w:val="left"/>
                      <w:rPr>
                        <w:rFonts w:ascii="Microsoft JhengHei" w:eastAsia="Microsoft JhengHei" w:hint="eastAsia"/>
                        <w:b/>
                        <w:sz w:val="19"/>
                      </w:rPr>
                    </w:pPr>
                    <w:r>
                      <w:rPr>
                        <w:rFonts w:ascii="Microsoft JhengHei" w:eastAsia="Microsoft JhengHei" w:hint="eastAsia"/>
                        <w:b/>
                        <w:sz w:val="19"/>
                      </w:rPr>
                      <w:t>议价谈判</w:t>
                    </w:r>
                  </w:p>
                </w:txbxContent>
              </v:textbox>
              <v:stroke dashstyle="solid"/>
              <w10:wrap type="none"/>
            </v:shape>
            <v:shape style="position:absolute;left:5956;top:3800;width:2067;height:467" type="#_x0000_t202" filled="false" stroked="true" strokeweight=".883022pt" strokecolor="#000000">
              <v:textbox inset="0,0,0,0">
                <w:txbxContent>
                  <w:p>
                    <w:pPr>
                      <w:spacing w:before="40"/>
                      <w:ind w:left="184" w:right="0" w:firstLine="0"/>
                      <w:jc w:val="left"/>
                      <w:rPr>
                        <w:rFonts w:ascii="Microsoft JhengHei" w:eastAsia="Microsoft JhengHei" w:hint="eastAsia"/>
                        <w:b/>
                        <w:sz w:val="19"/>
                      </w:rPr>
                    </w:pPr>
                    <w:r>
                      <w:rPr>
                        <w:rFonts w:ascii="Microsoft JhengHei" w:eastAsia="Microsoft JhengHei" w:hint="eastAsia"/>
                        <w:b/>
                        <w:sz w:val="19"/>
                      </w:rPr>
                      <w:t>企业不确认议价结果</w:t>
                    </w:r>
                  </w:p>
                </w:txbxContent>
              </v:textbox>
              <v:stroke dashstyle="solid"/>
              <w10:wrap type="none"/>
            </v:shape>
            <w10:wrap type="topAndBottom"/>
          </v:group>
        </w:pict>
      </w:r>
    </w:p>
    <w:p>
      <w:pPr>
        <w:pStyle w:val="BodyText"/>
        <w:spacing w:before="12"/>
        <w:ind w:left="0"/>
        <w:rPr>
          <w:rFonts w:ascii="Microsoft JhengHei"/>
          <w:b/>
          <w:sz w:val="13"/>
        </w:rPr>
      </w:pPr>
    </w:p>
    <w:p>
      <w:pPr>
        <w:pStyle w:val="BodyText"/>
        <w:spacing w:before="12"/>
        <w:ind w:left="0"/>
        <w:rPr>
          <w:rFonts w:ascii="Microsoft JhengHei"/>
          <w:b/>
          <w:sz w:val="13"/>
        </w:rPr>
      </w:pPr>
    </w:p>
    <w:p>
      <w:pPr>
        <w:pStyle w:val="BodyText"/>
        <w:spacing w:before="11"/>
        <w:ind w:left="0"/>
        <w:rPr>
          <w:rFonts w:ascii="Microsoft JhengHei"/>
          <w:b/>
          <w:sz w:val="16"/>
        </w:rPr>
      </w:pPr>
    </w:p>
    <w:p>
      <w:pPr>
        <w:spacing w:line="329" w:lineRule="exact" w:before="0"/>
        <w:ind w:left="5488" w:right="0" w:firstLine="0"/>
        <w:jc w:val="left"/>
        <w:rPr>
          <w:rFonts w:ascii="Microsoft JhengHei" w:eastAsia="Microsoft JhengHei" w:hint="eastAsia"/>
          <w:b/>
          <w:sz w:val="19"/>
        </w:rPr>
      </w:pPr>
      <w:r>
        <w:rPr>
          <w:rFonts w:ascii="Microsoft JhengHei" w:eastAsia="Microsoft JhengHei" w:hint="eastAsia"/>
          <w:b/>
          <w:sz w:val="19"/>
        </w:rPr>
        <w:t>医疗机构需求</w:t>
      </w:r>
    </w:p>
    <w:p>
      <w:pPr>
        <w:pStyle w:val="BodyText"/>
        <w:ind w:left="0"/>
        <w:rPr>
          <w:rFonts w:ascii="Microsoft JhengHei"/>
          <w:b/>
          <w:sz w:val="20"/>
        </w:rPr>
      </w:pPr>
    </w:p>
    <w:p>
      <w:pPr>
        <w:pStyle w:val="BodyText"/>
        <w:spacing w:before="3"/>
        <w:ind w:left="0"/>
        <w:rPr>
          <w:rFonts w:ascii="Microsoft JhengHei"/>
          <w:b/>
          <w:sz w:val="27"/>
        </w:rPr>
      </w:pPr>
      <w:r>
        <w:rPr/>
        <w:pict>
          <v:shape style="position:absolute;margin-left:222.81012pt;margin-top:27.423826pt;width:103.35pt;height:23.35pt;mso-position-horizontal-relative:page;mso-position-vertical-relative:paragraph;z-index:1240;mso-wrap-distance-left:0;mso-wrap-distance-right:0" type="#_x0000_t202" filled="false" stroked="true" strokeweight=".883022pt" strokecolor="#000000">
            <v:textbox inset="0,0,0,0">
              <w:txbxContent>
                <w:p>
                  <w:pPr>
                    <w:spacing w:before="43"/>
                    <w:ind w:left="274" w:right="0" w:firstLine="0"/>
                    <w:jc w:val="left"/>
                    <w:rPr>
                      <w:rFonts w:ascii="Microsoft JhengHei" w:eastAsia="Microsoft JhengHei" w:hint="eastAsia"/>
                      <w:b/>
                      <w:sz w:val="19"/>
                    </w:rPr>
                  </w:pPr>
                  <w:r>
                    <w:rPr>
                      <w:rFonts w:ascii="Microsoft JhengHei" w:eastAsia="Microsoft JhengHei" w:hint="eastAsia"/>
                      <w:b/>
                      <w:sz w:val="19"/>
                    </w:rPr>
                    <w:t>医疗机构按需议价</w:t>
                  </w:r>
                </w:p>
              </w:txbxContent>
            </v:textbox>
            <v:stroke dashstyle="solid"/>
            <w10:wrap type="topAndBottom"/>
          </v:shape>
        </w:pict>
      </w:r>
      <w:r>
        <w:rPr/>
        <w:pict>
          <v:group style="position:absolute;margin-left:232.368591pt;margin-top:70.325287pt;width:84.25pt;height:64.25pt;mso-position-horizontal-relative:page;mso-position-vertical-relative:paragraph;z-index:1312;mso-wrap-distance-left:0;mso-wrap-distance-right:0" coordorigin="4647,1407" coordsize="1685,1285">
            <v:shape style="position:absolute;left:4656;top:2215;width:1667;height:467" coordorigin="4656,2216" coordsize="1667,467" path="m4890,2682l6090,2682,6163,2670,6227,2637,6278,2587,6311,2523,6323,2449,6311,2375,6278,2311,6227,2261,6163,2227,6090,2216,4890,2216,4816,2227,4752,2261,4701,2311,4668,2375,4656,2449,4668,2523,4701,2587,4752,2637,4816,2670,4890,2682xe" filled="false" stroked="true" strokeweight=".883017pt" strokecolor="#000000">
              <v:path arrowok="t"/>
              <v:stroke dashstyle="solid"/>
            </v:shape>
            <v:shape style="position:absolute;left:5412;top:1882;width:154;height:334" type="#_x0000_t75" stroked="false">
              <v:imagedata r:id="rId17" o:title=""/>
            </v:shape>
            <v:shape style="position:absolute;left:4647;top:1882;width:1685;height:810" type="#_x0000_t202" filled="false" stroked="false">
              <v:textbox inset="0,0,0,0">
                <w:txbxContent>
                  <w:p>
                    <w:pPr>
                      <w:spacing w:line="240" w:lineRule="auto" w:before="1"/>
                      <w:rPr>
                        <w:rFonts w:ascii="Microsoft JhengHei"/>
                        <w:b/>
                        <w:sz w:val="21"/>
                      </w:rPr>
                    </w:pPr>
                  </w:p>
                  <w:p>
                    <w:pPr>
                      <w:spacing w:before="0"/>
                      <w:ind w:left="281" w:right="0" w:firstLine="0"/>
                      <w:jc w:val="left"/>
                      <w:rPr>
                        <w:rFonts w:ascii="Microsoft JhengHei" w:eastAsia="Microsoft JhengHei" w:hint="eastAsia"/>
                        <w:b/>
                        <w:sz w:val="19"/>
                      </w:rPr>
                    </w:pPr>
                    <w:r>
                      <w:rPr>
                        <w:rFonts w:ascii="Microsoft JhengHei" w:eastAsia="Microsoft JhengHei" w:hint="eastAsia"/>
                        <w:b/>
                        <w:sz w:val="19"/>
                      </w:rPr>
                      <w:t>执行网上采购</w:t>
                    </w:r>
                  </w:p>
                </w:txbxContent>
              </v:textbox>
              <w10:wrap type="none"/>
            </v:shape>
            <v:shape style="position:absolute;left:4656;top:1415;width:1667;height:467" type="#_x0000_t202" filled="false" stroked="true" strokeweight=".883017pt" strokecolor="#000000">
              <v:textbox inset="0,0,0,0">
                <w:txbxContent>
                  <w:p>
                    <w:pPr>
                      <w:spacing w:before="44"/>
                      <w:ind w:left="263" w:right="0" w:firstLine="0"/>
                      <w:jc w:val="left"/>
                      <w:rPr>
                        <w:rFonts w:ascii="Microsoft JhengHei" w:eastAsia="Microsoft JhengHei" w:hint="eastAsia"/>
                        <w:b/>
                        <w:sz w:val="19"/>
                      </w:rPr>
                    </w:pPr>
                    <w:r>
                      <w:rPr>
                        <w:rFonts w:ascii="Microsoft JhengHei" w:eastAsia="Microsoft JhengHei" w:hint="eastAsia"/>
                        <w:b/>
                        <w:sz w:val="19"/>
                      </w:rPr>
                      <w:t>签订购销合同</w:t>
                    </w:r>
                  </w:p>
                </w:txbxContent>
              </v:textbox>
              <v:stroke dashstyle="solid"/>
              <w10:wrap type="none"/>
            </v:shape>
            <w10:wrap type="topAndBottom"/>
          </v:group>
        </w:pict>
      </w:r>
    </w:p>
    <w:p>
      <w:pPr>
        <w:pStyle w:val="BodyText"/>
        <w:spacing w:before="1"/>
        <w:ind w:left="0"/>
        <w:rPr>
          <w:rFonts w:ascii="Microsoft JhengHei"/>
          <w:b/>
          <w:sz w:val="17"/>
        </w:rPr>
      </w:pPr>
    </w:p>
    <w:p>
      <w:pPr>
        <w:spacing w:after="0"/>
        <w:rPr>
          <w:rFonts w:ascii="Microsoft JhengHei"/>
          <w:sz w:val="17"/>
        </w:rPr>
        <w:sectPr>
          <w:pgSz w:w="11910" w:h="16840"/>
          <w:pgMar w:top="1560" w:bottom="280" w:left="1680" w:right="1360"/>
        </w:sectPr>
      </w:pPr>
    </w:p>
    <w:p>
      <w:pPr>
        <w:pStyle w:val="Heading3"/>
        <w:tabs>
          <w:tab w:pos="802" w:val="left" w:leader="none"/>
        </w:tabs>
        <w:spacing w:line="511" w:lineRule="exact"/>
        <w:ind w:left="0" w:right="318"/>
        <w:jc w:val="center"/>
      </w:pPr>
      <w:r>
        <w:rPr/>
        <w:t>目</w:t>
        <w:tab/>
        <w:t>录</w:t>
      </w:r>
    </w:p>
    <w:p>
      <w:pPr>
        <w:spacing w:after="0" w:line="511" w:lineRule="exact"/>
        <w:jc w:val="center"/>
        <w:sectPr>
          <w:footerReference w:type="default" r:id="rId18"/>
          <w:footerReference w:type="even" r:id="rId19"/>
          <w:pgSz w:w="11910" w:h="16840"/>
          <w:pgMar w:footer="1672" w:header="0" w:top="1580" w:bottom="1652" w:left="1680" w:right="1360"/>
        </w:sectPr>
      </w:pPr>
    </w:p>
    <w:sdt>
      <w:sdtPr>
        <w:docPartObj>
          <w:docPartGallery w:val="Table of Contents"/>
          <w:docPartUnique/>
        </w:docPartObj>
      </w:sdtPr>
      <w:sdtEndPr/>
      <w:sdtContent>
        <w:p>
          <w:pPr>
            <w:pStyle w:val="TOC1"/>
            <w:tabs>
              <w:tab w:pos="1625" w:val="left" w:leader="none"/>
              <w:tab w:pos="8416" w:val="right" w:leader="dot"/>
            </w:tabs>
            <w:spacing w:before="438"/>
            <w:rPr>
              <w:rFonts w:ascii="Gill Sans MT" w:eastAsia="Gill Sans MT"/>
            </w:rPr>
          </w:pPr>
          <w:hyperlink w:history="true" w:anchor="_bookmark0">
            <w:r>
              <w:rPr/>
              <w:t>第一部分</w:t>
              <w:tab/>
              <w:t>投标邀请函</w:t>
              <w:tab/>
            </w:r>
            <w:r>
              <w:rPr>
                <w:rFonts w:ascii="Gill Sans MT" w:eastAsia="Gill Sans MT"/>
              </w:rPr>
              <w:t>1</w:t>
            </w:r>
          </w:hyperlink>
        </w:p>
        <w:p>
          <w:pPr>
            <w:pStyle w:val="TOC2"/>
            <w:tabs>
              <w:tab w:pos="8416" w:val="right" w:leader="dot"/>
            </w:tabs>
            <w:spacing w:before="191"/>
            <w:rPr>
              <w:rFonts w:ascii="Gill Sans MT" w:eastAsia="Gill Sans MT"/>
            </w:rPr>
          </w:pPr>
          <w:hyperlink w:history="true" w:anchor="_bookmark1">
            <w:r>
              <w:rPr/>
              <w:t>一、项目名称及编号</w:t>
              <w:tab/>
            </w:r>
            <w:r>
              <w:rPr>
                <w:rFonts w:ascii="Gill Sans MT" w:eastAsia="Gill Sans MT"/>
              </w:rPr>
              <w:t>1</w:t>
            </w:r>
          </w:hyperlink>
        </w:p>
        <w:p>
          <w:pPr>
            <w:pStyle w:val="TOC2"/>
            <w:tabs>
              <w:tab w:pos="8416" w:val="right" w:leader="dot"/>
            </w:tabs>
            <w:spacing w:before="125"/>
            <w:rPr>
              <w:rFonts w:ascii="Gill Sans MT" w:eastAsia="Gill Sans MT"/>
            </w:rPr>
          </w:pPr>
          <w:hyperlink w:history="true" w:anchor="_bookmark2">
            <w:r>
              <w:rPr/>
              <w:t>二、采购范围</w:t>
              <w:tab/>
            </w:r>
            <w:r>
              <w:rPr>
                <w:rFonts w:ascii="Gill Sans MT" w:eastAsia="Gill Sans MT"/>
              </w:rPr>
              <w:t>1</w:t>
            </w:r>
          </w:hyperlink>
        </w:p>
        <w:p>
          <w:pPr>
            <w:pStyle w:val="TOC2"/>
            <w:tabs>
              <w:tab w:pos="8416" w:val="right" w:leader="dot"/>
            </w:tabs>
            <w:spacing w:before="125"/>
            <w:rPr>
              <w:rFonts w:ascii="Gill Sans MT" w:eastAsia="Gill Sans MT"/>
            </w:rPr>
          </w:pPr>
          <w:hyperlink w:history="true" w:anchor="_bookmark3">
            <w:r>
              <w:rPr/>
              <w:t>三、资格要求（实质性要求）</w:t>
              <w:tab/>
            </w:r>
            <w:r>
              <w:rPr>
                <w:rFonts w:ascii="Gill Sans MT" w:eastAsia="Gill Sans MT"/>
              </w:rPr>
              <w:t>3</w:t>
            </w:r>
          </w:hyperlink>
        </w:p>
        <w:p>
          <w:pPr>
            <w:pStyle w:val="TOC2"/>
            <w:tabs>
              <w:tab w:pos="8416" w:val="right" w:leader="dot"/>
            </w:tabs>
            <w:spacing w:before="125"/>
            <w:rPr>
              <w:rFonts w:ascii="Gill Sans MT" w:eastAsia="Gill Sans MT"/>
            </w:rPr>
          </w:pPr>
          <w:hyperlink w:history="true" w:anchor="_bookmark4">
            <w:r>
              <w:rPr/>
              <w:t>四、时间要求</w:t>
              <w:tab/>
            </w:r>
            <w:r>
              <w:rPr>
                <w:rFonts w:ascii="Gill Sans MT" w:eastAsia="Gill Sans MT"/>
              </w:rPr>
              <w:t>3</w:t>
            </w:r>
          </w:hyperlink>
        </w:p>
        <w:p>
          <w:pPr>
            <w:pStyle w:val="TOC2"/>
            <w:tabs>
              <w:tab w:pos="8416" w:val="right" w:leader="dot"/>
            </w:tabs>
            <w:rPr>
              <w:rFonts w:ascii="Gill Sans MT" w:eastAsia="Gill Sans MT"/>
            </w:rPr>
          </w:pPr>
          <w:hyperlink w:history="true" w:anchor="_bookmark5">
            <w:r>
              <w:rPr/>
              <w:t>五、采购工作机构</w:t>
              <w:tab/>
            </w:r>
            <w:r>
              <w:rPr>
                <w:rFonts w:ascii="Gill Sans MT" w:eastAsia="Gill Sans MT"/>
              </w:rPr>
              <w:t>4</w:t>
            </w:r>
          </w:hyperlink>
        </w:p>
        <w:p>
          <w:pPr>
            <w:pStyle w:val="TOC1"/>
            <w:tabs>
              <w:tab w:pos="1625" w:val="left" w:leader="none"/>
              <w:tab w:pos="8416" w:val="right" w:leader="dot"/>
            </w:tabs>
            <w:rPr>
              <w:rFonts w:ascii="Gill Sans MT" w:eastAsia="Gill Sans MT"/>
            </w:rPr>
          </w:pPr>
          <w:hyperlink w:history="true" w:anchor="_bookmark6">
            <w:r>
              <w:rPr/>
              <w:t>第二部分</w:t>
              <w:tab/>
              <w:t>采购内容</w:t>
              <w:tab/>
            </w:r>
            <w:r>
              <w:rPr>
                <w:rFonts w:ascii="Gill Sans MT" w:eastAsia="Gill Sans MT"/>
              </w:rPr>
              <w:t>5</w:t>
            </w:r>
          </w:hyperlink>
        </w:p>
        <w:p>
          <w:pPr>
            <w:pStyle w:val="TOC2"/>
            <w:tabs>
              <w:tab w:pos="8416" w:val="right" w:leader="dot"/>
            </w:tabs>
            <w:spacing w:before="192"/>
            <w:rPr>
              <w:rFonts w:ascii="Gill Sans MT" w:eastAsia="Gill Sans MT"/>
            </w:rPr>
          </w:pPr>
          <w:hyperlink w:history="true" w:anchor="_bookmark7">
            <w:r>
              <w:rPr/>
              <w:t>一、止血类（</w:t>
            </w:r>
            <w:r>
              <w:rPr>
                <w:rFonts w:ascii="Gill Sans MT" w:eastAsia="Gill Sans MT"/>
              </w:rPr>
              <w:t>III</w:t>
            </w:r>
            <w:r>
              <w:rPr>
                <w:rFonts w:ascii="Gill Sans MT" w:eastAsia="Gill Sans MT"/>
                <w:spacing w:val="-6"/>
              </w:rPr>
              <w:t> </w:t>
            </w:r>
            <w:r>
              <w:rPr/>
              <w:t>类）医用耗材产品</w:t>
              <w:tab/>
            </w:r>
            <w:r>
              <w:rPr>
                <w:rFonts w:ascii="Gill Sans MT" w:eastAsia="Gill Sans MT"/>
              </w:rPr>
              <w:t>5</w:t>
            </w:r>
          </w:hyperlink>
        </w:p>
        <w:p>
          <w:pPr>
            <w:pStyle w:val="TOC2"/>
            <w:tabs>
              <w:tab w:pos="8416" w:val="right" w:leader="dot"/>
            </w:tabs>
            <w:rPr>
              <w:rFonts w:ascii="Gill Sans MT" w:eastAsia="Gill Sans MT"/>
            </w:rPr>
          </w:pPr>
          <w:hyperlink w:history="true" w:anchor="_bookmark8">
            <w:r>
              <w:rPr/>
              <w:t>二、防粘连类（</w:t>
            </w:r>
            <w:r>
              <w:rPr>
                <w:rFonts w:ascii="Gill Sans MT" w:eastAsia="Gill Sans MT"/>
              </w:rPr>
              <w:t>III</w:t>
            </w:r>
            <w:r>
              <w:rPr>
                <w:rFonts w:ascii="Gill Sans MT" w:eastAsia="Gill Sans MT"/>
                <w:spacing w:val="-7"/>
              </w:rPr>
              <w:t> </w:t>
            </w:r>
            <w:r>
              <w:rPr/>
              <w:t>类）医用耗材产品</w:t>
              <w:tab/>
            </w:r>
            <w:r>
              <w:rPr>
                <w:rFonts w:ascii="Gill Sans MT" w:eastAsia="Gill Sans MT"/>
              </w:rPr>
              <w:t>5</w:t>
            </w:r>
          </w:hyperlink>
        </w:p>
        <w:p>
          <w:pPr>
            <w:pStyle w:val="TOC1"/>
            <w:tabs>
              <w:tab w:pos="1625" w:val="left" w:leader="none"/>
              <w:tab w:pos="8416" w:val="right" w:leader="dot"/>
            </w:tabs>
            <w:rPr>
              <w:rFonts w:ascii="Gill Sans MT" w:eastAsia="Gill Sans MT"/>
            </w:rPr>
          </w:pPr>
          <w:hyperlink w:history="true" w:anchor="_bookmark9">
            <w:r>
              <w:rPr/>
              <w:t>第三部分</w:t>
              <w:tab/>
              <w:t>联合采购项目要求</w:t>
              <w:tab/>
            </w:r>
            <w:r>
              <w:rPr>
                <w:rFonts w:ascii="Gill Sans MT" w:eastAsia="Gill Sans MT"/>
              </w:rPr>
              <w:t>7</w:t>
            </w:r>
          </w:hyperlink>
        </w:p>
        <w:p>
          <w:pPr>
            <w:pStyle w:val="TOC2"/>
            <w:tabs>
              <w:tab w:pos="8416" w:val="right" w:leader="dot"/>
            </w:tabs>
            <w:spacing w:before="191"/>
            <w:rPr>
              <w:rFonts w:ascii="Gill Sans MT" w:eastAsia="Gill Sans MT"/>
            </w:rPr>
          </w:pPr>
          <w:hyperlink w:history="true" w:anchor="_bookmark10">
            <w:r>
              <w:rPr/>
              <w:t>一、采购方式</w:t>
              <w:tab/>
            </w:r>
            <w:r>
              <w:rPr>
                <w:rFonts w:ascii="Gill Sans MT" w:eastAsia="Gill Sans MT"/>
              </w:rPr>
              <w:t>7</w:t>
            </w:r>
          </w:hyperlink>
        </w:p>
        <w:p>
          <w:pPr>
            <w:pStyle w:val="TOC2"/>
            <w:tabs>
              <w:tab w:pos="8416" w:val="right" w:leader="dot"/>
            </w:tabs>
            <w:spacing w:before="125"/>
            <w:rPr>
              <w:rFonts w:ascii="Gill Sans MT" w:eastAsia="Gill Sans MT"/>
            </w:rPr>
          </w:pPr>
          <w:hyperlink w:history="true" w:anchor="_bookmark11">
            <w:r>
              <w:rPr/>
              <w:t>二、资格要求（实质性要求）</w:t>
              <w:tab/>
            </w:r>
            <w:r>
              <w:rPr>
                <w:rFonts w:ascii="Gill Sans MT" w:eastAsia="Gill Sans MT"/>
              </w:rPr>
              <w:t>7</w:t>
            </w:r>
          </w:hyperlink>
        </w:p>
        <w:p>
          <w:pPr>
            <w:pStyle w:val="TOC2"/>
            <w:tabs>
              <w:tab w:pos="8416" w:val="right" w:leader="dot"/>
            </w:tabs>
            <w:spacing w:before="125"/>
            <w:rPr>
              <w:rFonts w:ascii="Gill Sans MT" w:eastAsia="Gill Sans MT"/>
            </w:rPr>
          </w:pPr>
          <w:hyperlink w:history="true" w:anchor="_bookmark12">
            <w:r>
              <w:rPr/>
              <w:t>三、采购要求</w:t>
              <w:tab/>
            </w:r>
            <w:r>
              <w:rPr>
                <w:rFonts w:ascii="Gill Sans MT" w:eastAsia="Gill Sans MT"/>
              </w:rPr>
              <w:t>7</w:t>
            </w:r>
          </w:hyperlink>
        </w:p>
        <w:p>
          <w:pPr>
            <w:pStyle w:val="TOC2"/>
            <w:tabs>
              <w:tab w:pos="8416" w:val="right" w:leader="dot"/>
            </w:tabs>
            <w:rPr>
              <w:rFonts w:ascii="Gill Sans MT" w:eastAsia="Gill Sans MT"/>
            </w:rPr>
          </w:pPr>
          <w:hyperlink w:history="true" w:anchor="_bookmark13">
            <w:r>
              <w:rPr/>
              <w:t>四、付款要求</w:t>
              <w:tab/>
            </w:r>
            <w:r>
              <w:rPr>
                <w:rFonts w:ascii="Gill Sans MT" w:eastAsia="Gill Sans MT"/>
              </w:rPr>
              <w:t>7</w:t>
            </w:r>
          </w:hyperlink>
        </w:p>
        <w:p>
          <w:pPr>
            <w:pStyle w:val="TOC1"/>
            <w:tabs>
              <w:tab w:pos="1625" w:val="left" w:leader="none"/>
              <w:tab w:pos="8416" w:val="right" w:leader="dot"/>
            </w:tabs>
            <w:spacing w:before="407"/>
            <w:rPr>
              <w:rFonts w:ascii="Gill Sans MT" w:eastAsia="Gill Sans MT"/>
            </w:rPr>
          </w:pPr>
          <w:hyperlink w:history="true" w:anchor="_bookmark14">
            <w:r>
              <w:rPr/>
              <w:t>第四部分</w:t>
              <w:tab/>
              <w:t>采购程序</w:t>
              <w:tab/>
            </w:r>
            <w:r>
              <w:rPr>
                <w:rFonts w:ascii="Gill Sans MT" w:eastAsia="Gill Sans MT"/>
              </w:rPr>
              <w:t>8</w:t>
            </w:r>
          </w:hyperlink>
        </w:p>
        <w:p>
          <w:pPr>
            <w:pStyle w:val="TOC2"/>
            <w:tabs>
              <w:tab w:pos="8416" w:val="right" w:leader="dot"/>
            </w:tabs>
            <w:spacing w:before="191"/>
            <w:rPr>
              <w:rFonts w:ascii="Gill Sans MT" w:eastAsia="Gill Sans MT"/>
            </w:rPr>
          </w:pPr>
          <w:hyperlink w:history="true" w:anchor="_bookmark15">
            <w:r>
              <w:rPr/>
              <w:t>一、信息更新</w:t>
              <w:tab/>
            </w:r>
            <w:r>
              <w:rPr>
                <w:rFonts w:ascii="Gill Sans MT" w:eastAsia="Gill Sans MT"/>
              </w:rPr>
              <w:t>8</w:t>
            </w:r>
          </w:hyperlink>
        </w:p>
        <w:p>
          <w:pPr>
            <w:pStyle w:val="TOC2"/>
            <w:tabs>
              <w:tab w:pos="8416" w:val="right" w:leader="dot"/>
            </w:tabs>
            <w:rPr>
              <w:rFonts w:ascii="Gill Sans MT" w:eastAsia="Gill Sans MT"/>
            </w:rPr>
          </w:pPr>
          <w:hyperlink w:history="true" w:anchor="_bookmark16">
            <w:r>
              <w:rPr/>
              <w:t>二、企业报价</w:t>
              <w:tab/>
            </w:r>
            <w:r>
              <w:rPr>
                <w:rFonts w:ascii="Gill Sans MT" w:eastAsia="Gill Sans MT"/>
              </w:rPr>
              <w:t>8</w:t>
            </w:r>
          </w:hyperlink>
        </w:p>
        <w:p>
          <w:pPr>
            <w:pStyle w:val="TOC2"/>
            <w:tabs>
              <w:tab w:pos="8416" w:val="right" w:leader="dot"/>
            </w:tabs>
            <w:spacing w:before="126"/>
            <w:rPr>
              <w:rFonts w:ascii="Gill Sans MT" w:eastAsia="Gill Sans MT"/>
            </w:rPr>
          </w:pPr>
          <w:hyperlink w:history="true" w:anchor="_bookmark17">
            <w:r>
              <w:rPr/>
              <w:t>三、报价解密和结果公示</w:t>
              <w:tab/>
            </w:r>
            <w:r>
              <w:rPr>
                <w:rFonts w:ascii="Gill Sans MT" w:eastAsia="Gill Sans MT"/>
              </w:rPr>
              <w:t>9</w:t>
            </w:r>
          </w:hyperlink>
        </w:p>
        <w:p>
          <w:pPr>
            <w:pStyle w:val="TOC2"/>
            <w:tabs>
              <w:tab w:pos="8416" w:val="right" w:leader="dot"/>
            </w:tabs>
            <w:rPr>
              <w:rFonts w:ascii="Gill Sans MT" w:eastAsia="Gill Sans MT"/>
            </w:rPr>
          </w:pPr>
          <w:hyperlink w:history="true" w:anchor="_bookmark18">
            <w:r>
              <w:rPr/>
              <w:t>四、谈判挂网采购</w:t>
              <w:tab/>
            </w:r>
            <w:r>
              <w:rPr>
                <w:rFonts w:ascii="Gill Sans MT" w:eastAsia="Gill Sans MT"/>
              </w:rPr>
              <w:t>9</w:t>
            </w:r>
          </w:hyperlink>
        </w:p>
        <w:p>
          <w:pPr>
            <w:pStyle w:val="TOC2"/>
            <w:tabs>
              <w:tab w:pos="8416" w:val="right" w:leader="dot"/>
            </w:tabs>
            <w:spacing w:before="125"/>
            <w:rPr>
              <w:rFonts w:ascii="Gill Sans MT" w:eastAsia="Gill Sans MT"/>
            </w:rPr>
          </w:pPr>
          <w:hyperlink w:history="true" w:anchor="_bookmark19">
            <w:r>
              <w:rPr/>
              <w:t>五、合同签订及执行</w:t>
              <w:tab/>
            </w:r>
            <w:r>
              <w:rPr>
                <w:rFonts w:ascii="Gill Sans MT" w:eastAsia="Gill Sans MT"/>
              </w:rPr>
              <w:t>10</w:t>
            </w:r>
          </w:hyperlink>
        </w:p>
        <w:p>
          <w:pPr>
            <w:pStyle w:val="TOC2"/>
            <w:tabs>
              <w:tab w:pos="8416" w:val="right" w:leader="dot"/>
            </w:tabs>
            <w:rPr>
              <w:rFonts w:ascii="Gill Sans MT" w:eastAsia="Gill Sans MT"/>
            </w:rPr>
          </w:pPr>
          <w:hyperlink w:history="true" w:anchor="_bookmark20">
            <w:r>
              <w:rPr/>
              <w:t>六、诚信档案管理</w:t>
              <w:tab/>
            </w:r>
            <w:r>
              <w:rPr>
                <w:rFonts w:ascii="Gill Sans MT" w:eastAsia="Gill Sans MT"/>
              </w:rPr>
              <w:t>10</w:t>
            </w:r>
          </w:hyperlink>
        </w:p>
        <w:p>
          <w:pPr>
            <w:pStyle w:val="TOC1"/>
            <w:tabs>
              <w:tab w:pos="1625" w:val="left" w:leader="none"/>
              <w:tab w:pos="8417" w:val="right" w:leader="dot"/>
            </w:tabs>
            <w:rPr>
              <w:rFonts w:ascii="Gill Sans MT" w:eastAsia="Gill Sans MT"/>
            </w:rPr>
          </w:pPr>
          <w:hyperlink w:history="true" w:anchor="_bookmark21">
            <w:r>
              <w:rPr/>
              <w:t>第五部分</w:t>
              <w:tab/>
              <w:t>投标须知</w:t>
              <w:tab/>
            </w:r>
            <w:r>
              <w:rPr>
                <w:rFonts w:ascii="Gill Sans MT" w:eastAsia="Gill Sans MT"/>
              </w:rPr>
              <w:t>12</w:t>
            </w:r>
          </w:hyperlink>
        </w:p>
        <w:p>
          <w:pPr>
            <w:pStyle w:val="TOC2"/>
            <w:tabs>
              <w:tab w:pos="8416" w:val="right" w:leader="dot"/>
            </w:tabs>
            <w:spacing w:before="192"/>
            <w:rPr>
              <w:rFonts w:ascii="Gill Sans MT" w:eastAsia="Gill Sans MT"/>
            </w:rPr>
          </w:pPr>
          <w:hyperlink w:history="true" w:anchor="_bookmark22">
            <w:r>
              <w:rPr/>
              <w:t>一、适用范围</w:t>
              <w:tab/>
            </w:r>
            <w:r>
              <w:rPr>
                <w:rFonts w:ascii="Gill Sans MT" w:eastAsia="Gill Sans MT"/>
              </w:rPr>
              <w:t>12</w:t>
            </w:r>
          </w:hyperlink>
        </w:p>
        <w:p>
          <w:pPr>
            <w:pStyle w:val="TOC2"/>
            <w:tabs>
              <w:tab w:pos="8416" w:val="right" w:leader="dot"/>
            </w:tabs>
            <w:rPr>
              <w:rFonts w:ascii="Gill Sans MT" w:eastAsia="Gill Sans MT"/>
            </w:rPr>
          </w:pPr>
          <w:hyperlink w:history="true" w:anchor="_bookmark23">
            <w:r>
              <w:rPr/>
              <w:t>二、名词解释</w:t>
              <w:tab/>
            </w:r>
            <w:r>
              <w:rPr>
                <w:rFonts w:ascii="Gill Sans MT" w:eastAsia="Gill Sans MT"/>
              </w:rPr>
              <w:t>12</w:t>
            </w:r>
          </w:hyperlink>
        </w:p>
        <w:p>
          <w:pPr>
            <w:pStyle w:val="TOC2"/>
            <w:tabs>
              <w:tab w:pos="8416" w:val="right" w:leader="dot"/>
            </w:tabs>
            <w:spacing w:before="126"/>
            <w:rPr>
              <w:rFonts w:ascii="Gill Sans MT" w:eastAsia="Gill Sans MT"/>
            </w:rPr>
          </w:pPr>
          <w:hyperlink w:history="true" w:anchor="_bookmark24">
            <w:r>
              <w:rPr/>
              <w:t>三、解释权</w:t>
              <w:tab/>
            </w:r>
            <w:r>
              <w:rPr>
                <w:rFonts w:ascii="Gill Sans MT" w:eastAsia="Gill Sans MT"/>
              </w:rPr>
              <w:t>12</w:t>
            </w:r>
          </w:hyperlink>
        </w:p>
        <w:p>
          <w:pPr>
            <w:pStyle w:val="TOC2"/>
            <w:tabs>
              <w:tab w:pos="8416" w:val="right" w:leader="dot"/>
            </w:tabs>
            <w:spacing w:after="240"/>
            <w:rPr>
              <w:rFonts w:ascii="Gill Sans MT" w:eastAsia="Gill Sans MT"/>
            </w:rPr>
          </w:pPr>
          <w:hyperlink w:history="true" w:anchor="_bookmark25">
            <w:r>
              <w:rPr/>
              <w:t>四、采购主体</w:t>
              <w:tab/>
            </w:r>
            <w:r>
              <w:rPr>
                <w:rFonts w:ascii="Gill Sans MT" w:eastAsia="Gill Sans MT"/>
              </w:rPr>
              <w:t>12</w:t>
            </w:r>
          </w:hyperlink>
        </w:p>
        <w:p>
          <w:pPr>
            <w:pStyle w:val="TOC2"/>
            <w:tabs>
              <w:tab w:pos="8416" w:val="right" w:leader="dot"/>
            </w:tabs>
            <w:spacing w:before="45"/>
            <w:rPr>
              <w:rFonts w:ascii="Gill Sans MT" w:eastAsia="Gill Sans MT"/>
            </w:rPr>
          </w:pPr>
          <w:hyperlink w:history="true" w:anchor="_bookmark26">
            <w:r>
              <w:rPr/>
              <w:t>五、合格的投标人</w:t>
              <w:tab/>
            </w:r>
            <w:r>
              <w:rPr>
                <w:rFonts w:ascii="Gill Sans MT" w:eastAsia="Gill Sans MT"/>
              </w:rPr>
              <w:t>13</w:t>
            </w:r>
          </w:hyperlink>
        </w:p>
        <w:p>
          <w:pPr>
            <w:pStyle w:val="TOC2"/>
            <w:tabs>
              <w:tab w:pos="8416" w:val="right" w:leader="dot"/>
            </w:tabs>
            <w:spacing w:before="126"/>
            <w:rPr>
              <w:rFonts w:ascii="Gill Sans MT" w:eastAsia="Gill Sans MT"/>
            </w:rPr>
          </w:pPr>
          <w:hyperlink w:history="true" w:anchor="_bookmark27">
            <w:r>
              <w:rPr/>
              <w:t>六、集中采购文件的构成</w:t>
              <w:tab/>
            </w:r>
            <w:r>
              <w:rPr>
                <w:rFonts w:ascii="Gill Sans MT" w:eastAsia="Gill Sans MT"/>
              </w:rPr>
              <w:t>13</w:t>
            </w:r>
          </w:hyperlink>
        </w:p>
        <w:p>
          <w:pPr>
            <w:pStyle w:val="TOC2"/>
            <w:tabs>
              <w:tab w:pos="8416" w:val="right" w:leader="dot"/>
            </w:tabs>
            <w:rPr>
              <w:rFonts w:ascii="Gill Sans MT" w:eastAsia="Gill Sans MT"/>
            </w:rPr>
          </w:pPr>
          <w:hyperlink w:history="true" w:anchor="_bookmark28">
            <w:r>
              <w:rPr/>
              <w:t>七、集中采购文件的修改</w:t>
              <w:tab/>
            </w:r>
            <w:r>
              <w:rPr>
                <w:rFonts w:ascii="Gill Sans MT" w:eastAsia="Gill Sans MT"/>
              </w:rPr>
              <w:t>14</w:t>
            </w:r>
          </w:hyperlink>
        </w:p>
        <w:p>
          <w:pPr>
            <w:pStyle w:val="TOC2"/>
            <w:tabs>
              <w:tab w:pos="8416" w:val="right" w:leader="dot"/>
            </w:tabs>
            <w:spacing w:before="126"/>
            <w:rPr>
              <w:rFonts w:ascii="Gill Sans MT" w:eastAsia="Gill Sans MT"/>
            </w:rPr>
          </w:pPr>
          <w:hyperlink w:history="true" w:anchor="_bookmark29">
            <w:r>
              <w:rPr/>
              <w:t>八、集中采购文件的澄清</w:t>
              <w:tab/>
            </w:r>
            <w:r>
              <w:rPr>
                <w:rFonts w:ascii="Gill Sans MT" w:eastAsia="Gill Sans MT"/>
              </w:rPr>
              <w:t>14</w:t>
            </w:r>
          </w:hyperlink>
        </w:p>
        <w:p>
          <w:pPr>
            <w:pStyle w:val="TOC2"/>
            <w:tabs>
              <w:tab w:pos="8416" w:val="right" w:leader="dot"/>
            </w:tabs>
            <w:rPr>
              <w:rFonts w:ascii="Gill Sans MT" w:eastAsia="Gill Sans MT"/>
            </w:rPr>
          </w:pPr>
          <w:hyperlink w:history="true" w:anchor="_bookmark30">
            <w:r>
              <w:rPr/>
              <w:t>九、注意事项</w:t>
              <w:tab/>
            </w:r>
            <w:r>
              <w:rPr>
                <w:rFonts w:ascii="Gill Sans MT" w:eastAsia="Gill Sans MT"/>
              </w:rPr>
              <w:t>14</w:t>
            </w:r>
          </w:hyperlink>
        </w:p>
        <w:p>
          <w:pPr>
            <w:pStyle w:val="TOC2"/>
            <w:tabs>
              <w:tab w:pos="8416" w:val="right" w:leader="dot"/>
            </w:tabs>
            <w:spacing w:before="125"/>
            <w:rPr>
              <w:rFonts w:ascii="Gill Sans MT" w:eastAsia="Gill Sans MT"/>
            </w:rPr>
          </w:pPr>
          <w:hyperlink w:history="true" w:anchor="_bookmark31">
            <w:r>
              <w:rPr/>
              <w:t>十、要求</w:t>
              <w:tab/>
            </w:r>
            <w:r>
              <w:rPr>
                <w:rFonts w:ascii="Gill Sans MT" w:eastAsia="Gill Sans MT"/>
              </w:rPr>
              <w:t>15</w:t>
            </w:r>
          </w:hyperlink>
        </w:p>
        <w:p>
          <w:pPr>
            <w:pStyle w:val="TOC2"/>
            <w:tabs>
              <w:tab w:pos="8416" w:val="right" w:leader="dot"/>
            </w:tabs>
            <w:rPr>
              <w:rFonts w:ascii="Gill Sans MT" w:eastAsia="Gill Sans MT"/>
            </w:rPr>
          </w:pPr>
          <w:hyperlink w:history="true" w:anchor="_bookmark32">
            <w:r>
              <w:rPr/>
              <w:t>十一、投标语言及计量单位</w:t>
              <w:tab/>
            </w:r>
            <w:r>
              <w:rPr>
                <w:rFonts w:ascii="Gill Sans MT" w:eastAsia="Gill Sans MT"/>
              </w:rPr>
              <w:t>15</w:t>
            </w:r>
          </w:hyperlink>
        </w:p>
        <w:p>
          <w:pPr>
            <w:pStyle w:val="TOC2"/>
            <w:tabs>
              <w:tab w:pos="8416" w:val="right" w:leader="dot"/>
            </w:tabs>
            <w:spacing w:before="126"/>
            <w:rPr>
              <w:rFonts w:ascii="Gill Sans MT" w:eastAsia="Gill Sans MT"/>
            </w:rPr>
          </w:pPr>
          <w:hyperlink w:history="true" w:anchor="_bookmark33">
            <w:r>
              <w:rPr/>
              <w:t>十二、投标报价</w:t>
              <w:tab/>
            </w:r>
            <w:r>
              <w:rPr>
                <w:rFonts w:ascii="Gill Sans MT" w:eastAsia="Gill Sans MT"/>
              </w:rPr>
              <w:t>16</w:t>
            </w:r>
          </w:hyperlink>
        </w:p>
        <w:p>
          <w:pPr>
            <w:pStyle w:val="TOC2"/>
            <w:tabs>
              <w:tab w:pos="8416" w:val="right" w:leader="dot"/>
            </w:tabs>
            <w:rPr>
              <w:rFonts w:ascii="Gill Sans MT" w:eastAsia="Gill Sans MT"/>
            </w:rPr>
          </w:pPr>
          <w:hyperlink w:history="true" w:anchor="_bookmark34">
            <w:r>
              <w:rPr/>
              <w:t>十三、投标货币</w:t>
              <w:tab/>
            </w:r>
            <w:r>
              <w:rPr>
                <w:rFonts w:ascii="Gill Sans MT" w:eastAsia="Gill Sans MT"/>
              </w:rPr>
              <w:t>16</w:t>
            </w:r>
          </w:hyperlink>
        </w:p>
        <w:p>
          <w:pPr>
            <w:pStyle w:val="TOC2"/>
            <w:tabs>
              <w:tab w:pos="8416" w:val="right" w:leader="dot"/>
            </w:tabs>
            <w:spacing w:before="125"/>
            <w:rPr>
              <w:rFonts w:ascii="Gill Sans MT" w:eastAsia="Gill Sans MT"/>
            </w:rPr>
          </w:pPr>
          <w:hyperlink w:history="true" w:anchor="_bookmark35">
            <w:r>
              <w:rPr/>
              <w:t>十四、投标审查</w:t>
              <w:tab/>
            </w:r>
            <w:r>
              <w:rPr>
                <w:rFonts w:ascii="Gill Sans MT" w:eastAsia="Gill Sans MT"/>
              </w:rPr>
              <w:t>17</w:t>
            </w:r>
          </w:hyperlink>
        </w:p>
        <w:p>
          <w:pPr>
            <w:pStyle w:val="TOC2"/>
            <w:tabs>
              <w:tab w:pos="8416" w:val="right" w:leader="dot"/>
            </w:tabs>
            <w:rPr>
              <w:rFonts w:ascii="Gill Sans MT" w:eastAsia="Gill Sans MT"/>
            </w:rPr>
          </w:pPr>
          <w:hyperlink w:history="true" w:anchor="_bookmark36">
            <w:r>
              <w:rPr/>
              <w:t>十五、投标材料的修改和撤消</w:t>
              <w:tab/>
            </w:r>
            <w:r>
              <w:rPr>
                <w:rFonts w:ascii="Gill Sans MT" w:eastAsia="Gill Sans MT"/>
              </w:rPr>
              <w:t>17</w:t>
            </w:r>
          </w:hyperlink>
        </w:p>
        <w:p>
          <w:pPr>
            <w:pStyle w:val="TOC2"/>
            <w:tabs>
              <w:tab w:pos="8416" w:val="right" w:leader="dot"/>
            </w:tabs>
            <w:spacing w:before="126"/>
            <w:rPr>
              <w:rFonts w:ascii="Gill Sans MT" w:eastAsia="Gill Sans MT"/>
            </w:rPr>
          </w:pPr>
          <w:hyperlink w:history="true" w:anchor="_bookmark37">
            <w:r>
              <w:rPr/>
              <w:t>十六、价格谈判专家组</w:t>
              <w:tab/>
            </w:r>
            <w:r>
              <w:rPr>
                <w:rFonts w:ascii="Gill Sans MT" w:eastAsia="Gill Sans MT"/>
              </w:rPr>
              <w:t>17</w:t>
            </w:r>
          </w:hyperlink>
        </w:p>
        <w:p>
          <w:pPr>
            <w:pStyle w:val="TOC2"/>
            <w:tabs>
              <w:tab w:pos="8416" w:val="right" w:leader="dot"/>
            </w:tabs>
            <w:rPr>
              <w:rFonts w:ascii="Gill Sans MT" w:eastAsia="Gill Sans MT"/>
            </w:rPr>
          </w:pPr>
          <w:hyperlink w:history="true" w:anchor="_bookmark38">
            <w:r>
              <w:rPr/>
              <w:t>十七、保密及其他注意事项</w:t>
              <w:tab/>
            </w:r>
            <w:r>
              <w:rPr>
                <w:rFonts w:ascii="Gill Sans MT" w:eastAsia="Gill Sans MT"/>
              </w:rPr>
              <w:t>17</w:t>
            </w:r>
          </w:hyperlink>
        </w:p>
      </w:sdtContent>
    </w:sdt>
    <w:p>
      <w:pPr>
        <w:spacing w:after="0"/>
        <w:rPr>
          <w:rFonts w:ascii="Gill Sans MT" w:eastAsia="Gill Sans MT"/>
        </w:rPr>
        <w:sectPr>
          <w:type w:val="continuous"/>
          <w:pgSz w:w="11910" w:h="16840"/>
          <w:pgMar w:top="1460" w:bottom="1652" w:left="1680" w:right="1360"/>
        </w:sectPr>
      </w:pPr>
    </w:p>
    <w:p>
      <w:pPr>
        <w:pStyle w:val="Heading1"/>
        <w:tabs>
          <w:tab w:pos="4384" w:val="left" w:leader="none"/>
        </w:tabs>
        <w:spacing w:before="80"/>
        <w:ind w:left="1963"/>
      </w:pPr>
      <w:bookmarkStart w:name="_bookmark0" w:id="1"/>
      <w:bookmarkEnd w:id="1"/>
      <w:r>
        <w:rPr/>
      </w:r>
      <w:r>
        <w:rPr/>
        <w:t>第一部分</w:t>
        <w:tab/>
        <w:t>投标</w:t>
      </w:r>
      <w:r>
        <w:rPr>
          <w:spacing w:val="-3"/>
        </w:rPr>
        <w:t>邀</w:t>
      </w:r>
      <w:r>
        <w:rPr/>
        <w:t>请函</w:t>
      </w:r>
    </w:p>
    <w:p>
      <w:pPr>
        <w:pStyle w:val="BodyText"/>
        <w:spacing w:before="13"/>
        <w:ind w:left="0"/>
        <w:rPr>
          <w:rFonts w:ascii="PMingLiU"/>
          <w:sz w:val="34"/>
        </w:rPr>
      </w:pPr>
    </w:p>
    <w:p>
      <w:pPr>
        <w:pStyle w:val="BodyText"/>
        <w:spacing w:line="350" w:lineRule="auto"/>
        <w:ind w:right="436" w:firstLine="639"/>
        <w:jc w:val="both"/>
      </w:pPr>
      <w:r>
        <w:rPr>
          <w:spacing w:val="-20"/>
        </w:rPr>
        <w:t>根据《</w:t>
      </w:r>
      <w:r>
        <w:rPr/>
        <w:t>2017</w:t>
      </w:r>
      <w:r>
        <w:rPr>
          <w:spacing w:val="-15"/>
        </w:rPr>
        <w:t> 年京津冀公立医院止血类</w:t>
      </w:r>
      <w:r>
        <w:rPr/>
        <w:t>（III</w:t>
      </w:r>
      <w:r>
        <w:rPr>
          <w:spacing w:val="-41"/>
        </w:rPr>
        <w:t> 类</w:t>
      </w:r>
      <w:r>
        <w:rPr>
          <w:spacing w:val="-161"/>
        </w:rPr>
        <w:t>）</w:t>
      </w:r>
      <w:r>
        <w:rPr>
          <w:spacing w:val="-15"/>
        </w:rPr>
        <w:t>、防粘连</w:t>
      </w:r>
      <w:r>
        <w:rPr>
          <w:spacing w:val="-32"/>
        </w:rPr>
        <w:t>类</w:t>
      </w:r>
      <w:r>
        <w:rPr/>
        <w:t>（III</w:t>
      </w:r>
      <w:r>
        <w:rPr>
          <w:spacing w:val="-42"/>
        </w:rPr>
        <w:t> 类</w:t>
      </w:r>
      <w:r>
        <w:rPr>
          <w:spacing w:val="-32"/>
        </w:rPr>
        <w:t>）</w:t>
      </w:r>
      <w:r>
        <w:rPr>
          <w:spacing w:val="-14"/>
        </w:rPr>
        <w:t>医用耗材联合采购工作方案》，按照京津冀医用</w:t>
      </w:r>
      <w:r>
        <w:rPr>
          <w:spacing w:val="-3"/>
        </w:rPr>
        <w:t>耗材联合采购工作小组要求，天津市医药采购中心作为采购</w:t>
      </w:r>
      <w:r>
        <w:rPr>
          <w:spacing w:val="-11"/>
        </w:rPr>
        <w:t>工作机构，就 </w:t>
      </w:r>
      <w:r>
        <w:rPr/>
        <w:t>2017</w:t>
      </w:r>
      <w:r>
        <w:rPr>
          <w:spacing w:val="-8"/>
        </w:rPr>
        <w:t> 年京津冀公立医院止血类</w:t>
      </w:r>
      <w:r>
        <w:rPr/>
        <w:t>（III</w:t>
      </w:r>
      <w:r>
        <w:rPr>
          <w:spacing w:val="-30"/>
        </w:rPr>
        <w:t> 类</w:t>
      </w:r>
      <w:r>
        <w:rPr>
          <w:spacing w:val="-160"/>
        </w:rPr>
        <w:t>）</w:t>
      </w:r>
      <w:r>
        <w:rPr/>
        <w:t>、防粘连类（III</w:t>
      </w:r>
      <w:r>
        <w:rPr>
          <w:spacing w:val="-41"/>
        </w:rPr>
        <w:t> 类</w:t>
      </w:r>
      <w:r>
        <w:rPr/>
        <w:t>）医用耗材联合采购项目进行集中采购。</w:t>
      </w:r>
    </w:p>
    <w:p>
      <w:pPr>
        <w:pStyle w:val="BodyText"/>
        <w:spacing w:before="7"/>
        <w:ind w:left="760"/>
      </w:pPr>
      <w:bookmarkStart w:name="_bookmark1" w:id="2"/>
      <w:bookmarkEnd w:id="2"/>
      <w:r>
        <w:rPr/>
      </w:r>
      <w:r>
        <w:rPr/>
        <w:t>一、项目名称及编号</w:t>
      </w:r>
    </w:p>
    <w:p>
      <w:pPr>
        <w:pStyle w:val="BodyText"/>
        <w:spacing w:line="350" w:lineRule="auto" w:before="190"/>
        <w:ind w:right="438" w:firstLine="639"/>
        <w:jc w:val="both"/>
      </w:pPr>
      <w:r>
        <w:rPr>
          <w:spacing w:val="-3"/>
        </w:rPr>
        <w:t>项目名称：</w:t>
      </w:r>
      <w:r>
        <w:rPr>
          <w:spacing w:val="-13"/>
        </w:rPr>
        <w:t>2017</w:t>
      </w:r>
      <w:r>
        <w:rPr>
          <w:spacing w:val="-14"/>
        </w:rPr>
        <w:t> 年京津冀公立医院止血类</w:t>
      </w:r>
      <w:r>
        <w:rPr/>
        <w:t>（III</w:t>
      </w:r>
      <w:r>
        <w:rPr>
          <w:spacing w:val="-40"/>
        </w:rPr>
        <w:t> 类</w:t>
      </w:r>
      <w:r>
        <w:rPr>
          <w:spacing w:val="-161"/>
        </w:rPr>
        <w:t>）</w:t>
      </w:r>
      <w:r>
        <w:rPr>
          <w:spacing w:val="-30"/>
        </w:rPr>
        <w:t>、防粘连类（III</w:t>
      </w:r>
      <w:r>
        <w:rPr>
          <w:spacing w:val="-41"/>
        </w:rPr>
        <w:t> 类</w:t>
      </w:r>
      <w:r>
        <w:rPr/>
        <w:t>）医用耗材联合采购项目</w:t>
      </w:r>
    </w:p>
    <w:p>
      <w:pPr>
        <w:pStyle w:val="BodyText"/>
        <w:spacing w:before="3"/>
        <w:ind w:left="760"/>
      </w:pPr>
      <w:r>
        <w:rPr/>
        <w:t>项目编号：TJMPC-2017-HC-03</w:t>
      </w:r>
    </w:p>
    <w:p>
      <w:pPr>
        <w:pStyle w:val="BodyText"/>
        <w:spacing w:before="190"/>
        <w:ind w:left="760"/>
      </w:pPr>
      <w:bookmarkStart w:name="_bookmark2" w:id="3"/>
      <w:bookmarkEnd w:id="3"/>
      <w:r>
        <w:rPr/>
      </w:r>
      <w:r>
        <w:rPr/>
        <w:t>二、采购范围</w:t>
      </w:r>
    </w:p>
    <w:p>
      <w:pPr>
        <w:pStyle w:val="BodyText"/>
        <w:spacing w:line="328" w:lineRule="auto" w:before="158"/>
        <w:ind w:right="436" w:firstLine="639"/>
        <w:jc w:val="both"/>
      </w:pPr>
      <w:r>
        <w:rPr/>
        <w:t>2017</w:t>
      </w:r>
      <w:r>
        <w:rPr>
          <w:spacing w:val="-19"/>
        </w:rPr>
        <w:t> 年京津冀公立医院止血类</w:t>
      </w:r>
      <w:r>
        <w:rPr/>
        <w:t>（III</w:t>
      </w:r>
      <w:r>
        <w:rPr>
          <w:spacing w:val="-41"/>
        </w:rPr>
        <w:t> 类</w:t>
      </w:r>
      <w:r>
        <w:rPr>
          <w:spacing w:val="-160"/>
        </w:rPr>
        <w:t>）</w:t>
      </w:r>
      <w:r>
        <w:rPr>
          <w:spacing w:val="-46"/>
        </w:rPr>
        <w:t>、防粘连类</w:t>
      </w:r>
      <w:r>
        <w:rPr/>
        <w:t>（III 类）医用耗材联合采购项目包括止血类（III</w:t>
      </w:r>
      <w:r>
        <w:rPr>
          <w:spacing w:val="-10"/>
        </w:rPr>
        <w:t> 类</w:t>
      </w:r>
      <w:r>
        <w:rPr/>
        <w:t>）医用耗材和防粘连类（III</w:t>
      </w:r>
      <w:r>
        <w:rPr>
          <w:spacing w:val="-41"/>
        </w:rPr>
        <w:t> 类</w:t>
      </w:r>
      <w:r>
        <w:rPr/>
        <w:t>）医用耗材两类产品。</w:t>
      </w:r>
    </w:p>
    <w:p>
      <w:pPr>
        <w:pStyle w:val="Heading3"/>
      </w:pPr>
      <w:r>
        <w:rPr>
          <w:w w:val="105"/>
        </w:rPr>
        <w:t>（一）止血类（III 类）医用耗材产品</w:t>
      </w:r>
    </w:p>
    <w:p>
      <w:pPr>
        <w:pStyle w:val="BodyText"/>
        <w:spacing w:line="328" w:lineRule="auto" w:before="77"/>
        <w:ind w:right="436" w:firstLine="639"/>
        <w:jc w:val="both"/>
      </w:pPr>
      <w:r>
        <w:rPr/>
        <w:t>1.本次京津冀公立医院联合采购止血类（III</w:t>
      </w:r>
      <w:r>
        <w:rPr>
          <w:spacing w:val="-9"/>
        </w:rPr>
        <w:t> 类</w:t>
      </w:r>
      <w:r>
        <w:rPr/>
        <w:t>）医用</w:t>
      </w:r>
      <w:r>
        <w:rPr>
          <w:spacing w:val="-2"/>
        </w:rPr>
        <w:t>耗材是指应用于生物体出血部位，通过加速血液凝固过程达</w:t>
      </w:r>
      <w:r>
        <w:rPr>
          <w:spacing w:val="-15"/>
        </w:rPr>
        <w:t>到止血目的，且依据《医疗器械注册管理办法》，于 </w:t>
      </w:r>
      <w:r>
        <w:rPr/>
        <w:t>2017</w:t>
      </w:r>
      <w:r>
        <w:rPr>
          <w:spacing w:val="-41"/>
        </w:rPr>
        <w:t> 年</w:t>
      </w:r>
    </w:p>
    <w:p>
      <w:pPr>
        <w:pStyle w:val="BodyText"/>
        <w:spacing w:line="405" w:lineRule="exact"/>
      </w:pPr>
      <w:r>
        <w:rPr/>
        <w:t>3</w:t>
      </w:r>
      <w:r>
        <w:rPr>
          <w:spacing w:val="-55"/>
        </w:rPr>
        <w:t> 月 </w:t>
      </w:r>
      <w:r>
        <w:rPr/>
        <w:t>30</w:t>
      </w:r>
      <w:r>
        <w:rPr>
          <w:spacing w:val="-10"/>
        </w:rPr>
        <w:t> 日前取得第三类医疗器械注册证的医用耗材。</w:t>
      </w:r>
    </w:p>
    <w:p>
      <w:pPr>
        <w:pStyle w:val="BodyText"/>
        <w:spacing w:line="328" w:lineRule="auto" w:before="150"/>
        <w:ind w:right="436" w:firstLine="639"/>
        <w:jc w:val="both"/>
      </w:pPr>
      <w:r>
        <w:rPr/>
        <w:t>2.本次京津冀公立医院联合采购止血类（III</w:t>
      </w:r>
      <w:r>
        <w:rPr>
          <w:spacing w:val="-9"/>
        </w:rPr>
        <w:t> 类</w:t>
      </w:r>
      <w:r>
        <w:rPr/>
        <w:t>）医用</w:t>
      </w:r>
      <w:r>
        <w:rPr>
          <w:spacing w:val="-4"/>
        </w:rPr>
        <w:t>耗材的涉及学科为外科、妇产科、骨科、神经外科；适用范</w:t>
      </w:r>
    </w:p>
    <w:p>
      <w:pPr>
        <w:spacing w:after="0" w:line="328" w:lineRule="auto"/>
        <w:jc w:val="both"/>
        <w:sectPr>
          <w:pgSz w:w="11910" w:h="16840"/>
          <w:pgMar w:header="0" w:footer="1672" w:top="1580" w:bottom="1860" w:left="1680" w:right="1360"/>
        </w:sectPr>
      </w:pPr>
    </w:p>
    <w:p>
      <w:pPr>
        <w:pStyle w:val="BodyText"/>
        <w:spacing w:line="328" w:lineRule="auto" w:before="40"/>
        <w:ind w:right="282"/>
      </w:pPr>
      <w:r>
        <w:rPr>
          <w:spacing w:val="0"/>
        </w:rPr>
        <w:t>围包括体内、体表；产品主要成分为纤维素衍生物、明胶、</w:t>
      </w:r>
      <w:r>
        <w:rPr>
          <w:spacing w:val="-20"/>
        </w:rPr>
        <w:t>胶原、透明质酸、多微孔多聚糖、壳聚糖及其衍生物、蜂蜡、</w:t>
      </w:r>
      <w:r>
        <w:rPr>
          <w:spacing w:val="-11"/>
        </w:rPr>
        <w:t>氰基丙烯酸、藻酸盐；产品形态为纱布、海绵、粉、膜、流体胶、非织布、胶、蜡。</w:t>
      </w:r>
    </w:p>
    <w:p>
      <w:pPr>
        <w:pStyle w:val="BodyText"/>
        <w:spacing w:line="328" w:lineRule="auto"/>
        <w:ind w:right="436" w:firstLine="639"/>
        <w:jc w:val="both"/>
      </w:pPr>
      <w:r>
        <w:rPr/>
        <w:t>3.本次京津冀公立医院联合采购止血类（III</w:t>
      </w:r>
      <w:r>
        <w:rPr>
          <w:spacing w:val="-9"/>
        </w:rPr>
        <w:t> 类</w:t>
      </w:r>
      <w:r>
        <w:rPr/>
        <w:t>）医用</w:t>
      </w:r>
      <w:r>
        <w:rPr>
          <w:spacing w:val="-2"/>
        </w:rPr>
        <w:t>耗材不包括具有止血作用的手术器械、仪器设备和上述范围以外的医用耗材。</w:t>
      </w:r>
    </w:p>
    <w:p>
      <w:pPr>
        <w:pStyle w:val="Heading3"/>
      </w:pPr>
      <w:r>
        <w:rPr>
          <w:w w:val="110"/>
        </w:rPr>
        <w:t>（二）防粘连类</w:t>
      </w:r>
      <w:r>
        <w:rPr>
          <w:w w:val="130"/>
        </w:rPr>
        <w:t>（III </w:t>
      </w:r>
      <w:r>
        <w:rPr>
          <w:w w:val="110"/>
        </w:rPr>
        <w:t>类）医用耗材产品</w:t>
      </w:r>
    </w:p>
    <w:p>
      <w:pPr>
        <w:pStyle w:val="BodyText"/>
        <w:spacing w:line="328" w:lineRule="auto" w:before="71"/>
        <w:ind w:right="436" w:firstLine="639"/>
        <w:jc w:val="both"/>
      </w:pPr>
      <w:r>
        <w:rPr/>
        <w:t>1.本次京津冀公立医院联合采购防粘连类（III</w:t>
      </w:r>
      <w:r>
        <w:rPr>
          <w:spacing w:val="-10"/>
        </w:rPr>
        <w:t> 类</w:t>
      </w:r>
      <w:r>
        <w:rPr/>
        <w:t>）医</w:t>
      </w:r>
      <w:r>
        <w:rPr>
          <w:spacing w:val="-2"/>
        </w:rPr>
        <w:t>用耗材是指可以将患处和周边组织物理性隔离，具有适度的</w:t>
      </w:r>
      <w:r>
        <w:rPr>
          <w:spacing w:val="-5"/>
        </w:rPr>
        <w:t>柔软性，在组织愈合过程中起到防止生物组织彼此粘连的作</w:t>
      </w:r>
      <w:r>
        <w:rPr>
          <w:spacing w:val="-26"/>
        </w:rPr>
        <w:t>用，且依据《医疗器械注册管理办法》，于 </w:t>
      </w:r>
      <w:r>
        <w:rPr/>
        <w:t>2017</w:t>
      </w:r>
      <w:r>
        <w:rPr>
          <w:spacing w:val="-55"/>
        </w:rPr>
        <w:t> 年 </w:t>
      </w:r>
      <w:r>
        <w:rPr/>
        <w:t>3</w:t>
      </w:r>
      <w:r>
        <w:rPr>
          <w:spacing w:val="-56"/>
        </w:rPr>
        <w:t> 月 </w:t>
      </w:r>
      <w:r>
        <w:rPr/>
        <w:t>30</w:t>
      </w:r>
      <w:r>
        <w:rPr>
          <w:spacing w:val="-42"/>
        </w:rPr>
        <w:t> 日前取得第三类医疗器械注册证的医用耗材。</w:t>
      </w:r>
    </w:p>
    <w:p>
      <w:pPr>
        <w:pStyle w:val="BodyText"/>
        <w:spacing w:line="328" w:lineRule="auto"/>
        <w:ind w:right="281" w:firstLine="639"/>
      </w:pPr>
      <w:r>
        <w:rPr/>
        <w:t>2.本次京津冀公立医院联合采购防粘连类（III 类）医用耗材涉及的学科为外科、妇产科、骨科、神经外科；适用的人体范围为体内，包括腹（盆）腔、椎管、肌腱、宫腔、颅内；产品主要成分为壳聚糖及其衍生物、聚乳酸及其共聚物、透明质酸、纤维素衍生物、胶原、聚四氟乙烯、聚乙二醇；产品形态为液、膜、凝胶。</w:t>
      </w:r>
    </w:p>
    <w:p>
      <w:pPr>
        <w:pStyle w:val="BodyText"/>
        <w:spacing w:line="328" w:lineRule="auto"/>
        <w:ind w:right="436" w:firstLine="639"/>
        <w:jc w:val="both"/>
      </w:pPr>
      <w:r>
        <w:rPr/>
        <w:t>3.本次京津冀公立医院联合采购防粘连类（III</w:t>
      </w:r>
      <w:r>
        <w:rPr>
          <w:spacing w:val="-10"/>
        </w:rPr>
        <w:t> 类</w:t>
      </w:r>
      <w:r>
        <w:rPr/>
        <w:t>）医</w:t>
      </w:r>
      <w:r>
        <w:rPr>
          <w:spacing w:val="-3"/>
        </w:rPr>
        <w:t>用耗材不包括具有防粘连作用的手术器械、仪器设备、补片和上述范围以外的医用耗材。</w:t>
      </w:r>
    </w:p>
    <w:p>
      <w:pPr>
        <w:spacing w:after="0" w:line="328" w:lineRule="auto"/>
        <w:jc w:val="both"/>
        <w:sectPr>
          <w:pgSz w:w="11910" w:h="16840"/>
          <w:pgMar w:header="0" w:footer="1672" w:top="1520" w:bottom="1860" w:left="1680" w:right="1360"/>
        </w:sectPr>
      </w:pPr>
    </w:p>
    <w:p>
      <w:pPr>
        <w:pStyle w:val="BodyText"/>
        <w:spacing w:before="32"/>
        <w:ind w:left="760"/>
      </w:pPr>
      <w:bookmarkStart w:name="_bookmark3" w:id="4"/>
      <w:bookmarkEnd w:id="4"/>
      <w:r>
        <w:rPr/>
      </w:r>
      <w:r>
        <w:rPr/>
        <w:t>三、资格要求（实质性要求）</w:t>
      </w:r>
    </w:p>
    <w:p>
      <w:pPr>
        <w:pStyle w:val="BodyText"/>
        <w:spacing w:line="350" w:lineRule="auto" w:before="190"/>
        <w:ind w:right="270" w:firstLine="639"/>
      </w:pPr>
      <w:r>
        <w:rPr/>
        <w:t>（一）本次联合采购实行医疗器械生产企业直接申报。生产企业设立的仅销售本公司产品的商业公司、进口产品国内总代理视同生产企业。</w:t>
      </w:r>
    </w:p>
    <w:p>
      <w:pPr>
        <w:pStyle w:val="BodyText"/>
        <w:spacing w:line="350" w:lineRule="auto" w:before="5"/>
        <w:ind w:right="437" w:firstLine="639"/>
        <w:jc w:val="both"/>
      </w:pPr>
      <w:r>
        <w:rPr>
          <w:spacing w:val="-1"/>
        </w:rPr>
        <w:t>（二</w:t>
      </w:r>
      <w:r>
        <w:rPr>
          <w:spacing w:val="-9"/>
        </w:rPr>
        <w:t>）</w:t>
      </w:r>
      <w:r>
        <w:rPr>
          <w:spacing w:val="-1"/>
        </w:rPr>
        <w:t>投标企业近两年内不得有严重违反《医疗器械生</w:t>
      </w:r>
      <w:r>
        <w:rPr>
          <w:spacing w:val="-4"/>
        </w:rPr>
        <w:t>产监督管理办法》或《医疗器械经营监督管理办法》规定的记录。</w:t>
      </w:r>
    </w:p>
    <w:p>
      <w:pPr>
        <w:pStyle w:val="BodyText"/>
        <w:spacing w:before="4"/>
        <w:ind w:left="760"/>
      </w:pPr>
      <w:bookmarkStart w:name="_bookmark4" w:id="5"/>
      <w:bookmarkEnd w:id="5"/>
      <w:r>
        <w:rPr/>
      </w:r>
      <w:r>
        <w:rPr/>
        <w:t>四、时间要求</w:t>
      </w:r>
    </w:p>
    <w:p>
      <w:pPr>
        <w:pStyle w:val="BodyText"/>
        <w:spacing w:line="350" w:lineRule="auto" w:before="190"/>
        <w:ind w:right="436" w:firstLine="639"/>
        <w:jc w:val="both"/>
      </w:pPr>
      <w:r>
        <w:rPr/>
        <w:t>（一</w:t>
      </w:r>
      <w:r>
        <w:rPr>
          <w:spacing w:val="-5"/>
        </w:rPr>
        <w:t>）</w:t>
      </w:r>
      <w:r>
        <w:rPr>
          <w:spacing w:val="-3"/>
        </w:rPr>
        <w:t>凡已在“京津冀医用耗材联合采购平台”</w:t>
      </w:r>
      <w:r>
        <w:rPr>
          <w:spacing w:val="-5"/>
        </w:rPr>
        <w:t>（</w:t>
      </w:r>
      <w:r>
        <w:rPr/>
        <w:t>以下</w:t>
      </w:r>
      <w:r>
        <w:rPr>
          <w:spacing w:val="-4"/>
        </w:rPr>
        <w:t>简称“采购平台”</w:t>
      </w:r>
      <w:r>
        <w:rPr>
          <w:spacing w:val="-5"/>
        </w:rPr>
        <w:t>）</w:t>
      </w:r>
      <w:r>
        <w:rPr>
          <w:spacing w:val="-1"/>
        </w:rPr>
        <w:t>完成企业及产品注册并通过复审的，如</w:t>
      </w:r>
      <w:r>
        <w:rPr>
          <w:spacing w:val="-2"/>
        </w:rPr>
        <w:t>已填报信息中的企业和产品注册证等信息发生更新，应由被授权人携带授权书及相关证明材料，加盖企业公章后递交至</w:t>
      </w:r>
      <w:r>
        <w:rPr>
          <w:spacing w:val="-9"/>
        </w:rPr>
        <w:t>我中心。现场递交时间：</w:t>
      </w:r>
      <w:r>
        <w:rPr>
          <w:spacing w:val="-10"/>
        </w:rPr>
        <w:t>2017</w:t>
      </w:r>
      <w:r>
        <w:rPr>
          <w:spacing w:val="-54"/>
        </w:rPr>
        <w:t> 年 </w:t>
      </w:r>
      <w:r>
        <w:rPr/>
        <w:t>11</w:t>
      </w:r>
      <w:r>
        <w:rPr>
          <w:spacing w:val="-54"/>
        </w:rPr>
        <w:t> 月 </w:t>
      </w:r>
      <w:r>
        <w:rPr/>
        <w:t>24</w:t>
      </w:r>
      <w:r>
        <w:rPr>
          <w:spacing w:val="-55"/>
        </w:rPr>
        <w:t> 日 </w:t>
      </w:r>
      <w:r>
        <w:rPr/>
        <w:t>9:00</w:t>
      </w:r>
      <w:r>
        <w:rPr>
          <w:spacing w:val="-55"/>
        </w:rPr>
        <w:t> 至 </w:t>
      </w:r>
      <w:r>
        <w:rPr/>
        <w:t>2017</w:t>
      </w:r>
      <w:r>
        <w:rPr>
          <w:spacing w:val="-41"/>
        </w:rPr>
        <w:t> 年</w:t>
      </w:r>
    </w:p>
    <w:p>
      <w:pPr>
        <w:pStyle w:val="BodyText"/>
        <w:spacing w:before="7"/>
      </w:pPr>
      <w:r>
        <w:rPr/>
        <w:t>12</w:t>
      </w:r>
      <w:r>
        <w:rPr>
          <w:spacing w:val="-55"/>
        </w:rPr>
        <w:t> 月 </w:t>
      </w:r>
      <w:r>
        <w:rPr/>
        <w:t>8</w:t>
      </w:r>
      <w:r>
        <w:rPr>
          <w:spacing w:val="-55"/>
        </w:rPr>
        <w:t> 日 </w:t>
      </w:r>
      <w:r>
        <w:rPr/>
        <w:t>12:00。</w:t>
      </w:r>
    </w:p>
    <w:p>
      <w:pPr>
        <w:pStyle w:val="BodyText"/>
        <w:spacing w:before="190"/>
        <w:ind w:left="760"/>
      </w:pPr>
      <w:r>
        <w:rPr/>
        <w:t>（二</w:t>
      </w:r>
      <w:r>
        <w:rPr>
          <w:spacing w:val="-9"/>
        </w:rPr>
        <w:t>）</w:t>
      </w:r>
      <w:r>
        <w:rPr/>
        <w:t>企业报价时间：2017</w:t>
      </w:r>
      <w:r>
        <w:rPr>
          <w:spacing w:val="-55"/>
        </w:rPr>
        <w:t> 年 </w:t>
      </w:r>
      <w:r>
        <w:rPr/>
        <w:t>12</w:t>
      </w:r>
      <w:r>
        <w:rPr>
          <w:spacing w:val="-55"/>
        </w:rPr>
        <w:t> 月 </w:t>
      </w:r>
      <w:r>
        <w:rPr/>
        <w:t>12</w:t>
      </w:r>
      <w:r>
        <w:rPr>
          <w:spacing w:val="-55"/>
        </w:rPr>
        <w:t> 日 </w:t>
      </w:r>
      <w:r>
        <w:rPr/>
        <w:t>9:00</w:t>
      </w:r>
      <w:r>
        <w:rPr>
          <w:spacing w:val="-55"/>
        </w:rPr>
        <w:t> 至 </w:t>
      </w:r>
      <w:r>
        <w:rPr/>
        <w:t>2017</w:t>
      </w:r>
    </w:p>
    <w:p>
      <w:pPr>
        <w:pStyle w:val="BodyText"/>
        <w:spacing w:line="350" w:lineRule="auto" w:before="190"/>
        <w:ind w:right="438"/>
        <w:jc w:val="both"/>
      </w:pPr>
      <w:r>
        <w:rPr>
          <w:spacing w:val="-41"/>
        </w:rPr>
        <w:t>年 </w:t>
      </w:r>
      <w:r>
        <w:rPr/>
        <w:t>12</w:t>
      </w:r>
      <w:r>
        <w:rPr>
          <w:spacing w:val="-56"/>
        </w:rPr>
        <w:t> 月 </w:t>
      </w:r>
      <w:r>
        <w:rPr/>
        <w:t>13</w:t>
      </w:r>
      <w:r>
        <w:rPr>
          <w:spacing w:val="-56"/>
        </w:rPr>
        <w:t> 日 </w:t>
      </w:r>
      <w:r>
        <w:rPr/>
        <w:t>8:00</w:t>
      </w:r>
      <w:r>
        <w:rPr>
          <w:spacing w:val="-11"/>
        </w:rPr>
        <w:t>。凡产品信息通过专家审核的投标人须使用数字证书登录采购平台进行报价。</w:t>
      </w:r>
    </w:p>
    <w:p>
      <w:pPr>
        <w:pStyle w:val="BodyText"/>
        <w:spacing w:before="3"/>
        <w:ind w:left="760"/>
      </w:pPr>
      <w:r>
        <w:rPr/>
        <w:t>（三</w:t>
      </w:r>
      <w:r>
        <w:rPr>
          <w:spacing w:val="-9"/>
        </w:rPr>
        <w:t>）</w:t>
      </w:r>
      <w:r>
        <w:rPr/>
        <w:t>报价解密时间：2017</w:t>
      </w:r>
      <w:r>
        <w:rPr>
          <w:spacing w:val="-55"/>
        </w:rPr>
        <w:t> 年 </w:t>
      </w:r>
      <w:r>
        <w:rPr/>
        <w:t>12</w:t>
      </w:r>
      <w:r>
        <w:rPr>
          <w:spacing w:val="-55"/>
        </w:rPr>
        <w:t> 月 </w:t>
      </w:r>
      <w:r>
        <w:rPr/>
        <w:t>13</w:t>
      </w:r>
      <w:r>
        <w:rPr>
          <w:spacing w:val="-55"/>
        </w:rPr>
        <w:t> 日 </w:t>
      </w:r>
      <w:r>
        <w:rPr/>
        <w:t>8:00</w:t>
      </w:r>
      <w:r>
        <w:rPr>
          <w:spacing w:val="-55"/>
        </w:rPr>
        <w:t> 至 </w:t>
      </w:r>
      <w:r>
        <w:rPr/>
        <w:t>2017</w:t>
      </w:r>
    </w:p>
    <w:p>
      <w:pPr>
        <w:pStyle w:val="BodyText"/>
        <w:spacing w:line="350" w:lineRule="auto" w:before="190"/>
        <w:ind w:right="436"/>
        <w:jc w:val="both"/>
      </w:pPr>
      <w:r>
        <w:rPr>
          <w:spacing w:val="-34"/>
        </w:rPr>
        <w:t>年 </w:t>
      </w:r>
      <w:r>
        <w:rPr/>
        <w:t>12</w:t>
      </w:r>
      <w:r>
        <w:rPr>
          <w:spacing w:val="-46"/>
        </w:rPr>
        <w:t> 月 </w:t>
      </w:r>
      <w:r>
        <w:rPr/>
        <w:t>13</w:t>
      </w:r>
      <w:r>
        <w:rPr>
          <w:spacing w:val="-46"/>
        </w:rPr>
        <w:t> 日 </w:t>
      </w:r>
      <w:r>
        <w:rPr/>
        <w:t>10:00。投标人须使用数字证书登录采购平台</w:t>
      </w:r>
      <w:r>
        <w:rPr>
          <w:spacing w:val="-3"/>
        </w:rPr>
        <w:t>进行网上报价解密，无需到开标现场。在规定的时间内完成解密的投标为有效投标。</w:t>
      </w:r>
    </w:p>
    <w:p>
      <w:pPr>
        <w:spacing w:after="0" w:line="350" w:lineRule="auto"/>
        <w:jc w:val="both"/>
        <w:sectPr>
          <w:footerReference w:type="default" r:id="rId20"/>
          <w:footerReference w:type="even" r:id="rId21"/>
          <w:pgSz w:w="11910" w:h="16840"/>
          <w:pgMar w:footer="1672" w:header="0" w:top="1560" w:bottom="1860" w:left="1680" w:right="1360"/>
          <w:pgNumType w:start="3"/>
        </w:sectPr>
      </w:pPr>
    </w:p>
    <w:p>
      <w:pPr>
        <w:pStyle w:val="BodyText"/>
        <w:spacing w:line="350" w:lineRule="auto" w:before="32"/>
        <w:ind w:right="438" w:firstLine="639"/>
      </w:pPr>
      <w:r>
        <w:rPr/>
        <w:t>（四）</w:t>
      </w:r>
      <w:r>
        <w:rPr>
          <w:spacing w:val="-7"/>
        </w:rPr>
        <w:t>报价解密结果将于 </w:t>
      </w:r>
      <w:r>
        <w:rPr/>
        <w:t>2017</w:t>
      </w:r>
      <w:r>
        <w:rPr>
          <w:spacing w:val="-43"/>
        </w:rPr>
        <w:t> 年 </w:t>
      </w:r>
      <w:r>
        <w:rPr/>
        <w:t>12</w:t>
      </w:r>
      <w:r>
        <w:rPr>
          <w:spacing w:val="-43"/>
        </w:rPr>
        <w:t> 月 </w:t>
      </w:r>
      <w:r>
        <w:rPr/>
        <w:t>13</w:t>
      </w:r>
      <w:r>
        <w:rPr>
          <w:spacing w:val="-43"/>
        </w:rPr>
        <w:t> 日 </w:t>
      </w:r>
      <w:r>
        <w:rPr/>
        <w:t>10:00</w:t>
      </w:r>
      <w:r>
        <w:rPr>
          <w:spacing w:val="-32"/>
        </w:rPr>
        <w:t> 在采购平台进行公示。</w:t>
      </w:r>
    </w:p>
    <w:p>
      <w:pPr>
        <w:pStyle w:val="BodyText"/>
        <w:spacing w:line="350" w:lineRule="auto" w:before="3"/>
        <w:ind w:right="270" w:firstLine="639"/>
      </w:pPr>
      <w:r>
        <w:rPr/>
        <w:t>（五）所有时间以采购平台显示的时间（服务器时间） 为准。</w:t>
      </w:r>
    </w:p>
    <w:p>
      <w:pPr>
        <w:pStyle w:val="BodyText"/>
        <w:spacing w:before="3"/>
        <w:ind w:left="760"/>
      </w:pPr>
      <w:bookmarkStart w:name="_bookmark5" w:id="6"/>
      <w:bookmarkEnd w:id="6"/>
      <w:r>
        <w:rPr/>
      </w:r>
      <w:r>
        <w:rPr/>
        <w:t>五、采购工作机构</w:t>
      </w:r>
    </w:p>
    <w:p>
      <w:pPr>
        <w:pStyle w:val="BodyText"/>
        <w:spacing w:before="190"/>
        <w:ind w:left="760"/>
      </w:pPr>
      <w:r>
        <w:rPr/>
        <w:t>天津市医药采购中心</w:t>
      </w:r>
    </w:p>
    <w:p>
      <w:pPr>
        <w:pStyle w:val="BodyText"/>
        <w:spacing w:line="350" w:lineRule="auto" w:before="190"/>
        <w:ind w:left="760" w:right="2824"/>
      </w:pPr>
      <w:r>
        <w:rPr>
          <w:spacing w:val="-6"/>
        </w:rPr>
        <w:t>联系地址：天津市河东区红星路 </w:t>
      </w:r>
      <w:r>
        <w:rPr/>
        <w:t>79</w:t>
      </w:r>
      <w:r>
        <w:rPr>
          <w:spacing w:val="-42"/>
        </w:rPr>
        <w:t> 号邮政编码：300161</w:t>
      </w:r>
    </w:p>
    <w:p>
      <w:pPr>
        <w:pStyle w:val="BodyText"/>
        <w:spacing w:line="350" w:lineRule="auto" w:before="3"/>
        <w:ind w:left="760" w:right="2665"/>
      </w:pPr>
      <w:r>
        <w:rPr/>
        <w:t>网址：http://www.tjmpc.gov.cn:9004 项目负责人：冯旭</w:t>
      </w:r>
    </w:p>
    <w:p>
      <w:pPr>
        <w:pStyle w:val="BodyText"/>
        <w:spacing w:line="350" w:lineRule="auto" w:before="3"/>
        <w:ind w:left="760" w:right="4584"/>
      </w:pPr>
      <w:r>
        <w:rPr/>
        <w:t>联系电话：022-24538150 传真：022-24538151</w:t>
      </w:r>
    </w:p>
    <w:p>
      <w:pPr>
        <w:pStyle w:val="BodyText"/>
        <w:spacing w:before="3"/>
        <w:ind w:left="760"/>
      </w:pPr>
      <w:hyperlink r:id="rId22">
        <w:r>
          <w:rPr/>
          <w:t>邮箱：tjmpc@tjmpc.gov.cn</w:t>
        </w:r>
      </w:hyperlink>
    </w:p>
    <w:p>
      <w:pPr>
        <w:spacing w:after="0"/>
        <w:sectPr>
          <w:pgSz w:w="11910" w:h="16840"/>
          <w:pgMar w:header="0" w:footer="1672" w:top="1560" w:bottom="1860" w:left="1680" w:right="1360"/>
        </w:sectPr>
      </w:pPr>
    </w:p>
    <w:p>
      <w:pPr>
        <w:pStyle w:val="Heading1"/>
        <w:tabs>
          <w:tab w:pos="5044" w:val="left" w:leader="none"/>
        </w:tabs>
      </w:pPr>
      <w:bookmarkStart w:name="_bookmark6" w:id="7"/>
      <w:bookmarkEnd w:id="7"/>
      <w:r>
        <w:rPr/>
      </w:r>
      <w:r>
        <w:rPr/>
        <w:t>第二部分</w:t>
        <w:tab/>
        <w:t>采购</w:t>
      </w:r>
      <w:r>
        <w:rPr>
          <w:spacing w:val="-3"/>
        </w:rPr>
        <w:t>内</w:t>
      </w:r>
      <w:r>
        <w:rPr/>
        <w:t>容</w:t>
      </w:r>
    </w:p>
    <w:p>
      <w:pPr>
        <w:pStyle w:val="BodyText"/>
        <w:spacing w:line="328" w:lineRule="auto" w:before="455"/>
        <w:ind w:right="436" w:firstLine="639"/>
        <w:jc w:val="both"/>
      </w:pPr>
      <w:r>
        <w:rPr/>
        <w:t>2017</w:t>
      </w:r>
      <w:r>
        <w:rPr>
          <w:spacing w:val="-19"/>
        </w:rPr>
        <w:t> 年京津冀公立医院止血类</w:t>
      </w:r>
      <w:r>
        <w:rPr/>
        <w:t>（III</w:t>
      </w:r>
      <w:r>
        <w:rPr>
          <w:spacing w:val="-41"/>
        </w:rPr>
        <w:t> 类</w:t>
      </w:r>
      <w:r>
        <w:rPr>
          <w:spacing w:val="-160"/>
        </w:rPr>
        <w:t>）</w:t>
      </w:r>
      <w:r>
        <w:rPr>
          <w:spacing w:val="-46"/>
        </w:rPr>
        <w:t>、防粘连类</w:t>
      </w:r>
      <w:r>
        <w:rPr/>
        <w:t>（III 类）医用耗材联合采购项目包括止血类（III</w:t>
      </w:r>
      <w:r>
        <w:rPr>
          <w:spacing w:val="-10"/>
        </w:rPr>
        <w:t> 类</w:t>
      </w:r>
      <w:r>
        <w:rPr/>
        <w:t>）医用耗材和防粘连类（III</w:t>
      </w:r>
      <w:r>
        <w:rPr>
          <w:spacing w:val="-41"/>
        </w:rPr>
        <w:t> 类</w:t>
      </w:r>
      <w:r>
        <w:rPr/>
        <w:t>）医用耗材两类产品。</w:t>
      </w:r>
    </w:p>
    <w:p>
      <w:pPr>
        <w:pStyle w:val="BodyText"/>
        <w:spacing w:before="28"/>
        <w:ind w:left="760"/>
      </w:pPr>
      <w:bookmarkStart w:name="_bookmark7" w:id="8"/>
      <w:bookmarkEnd w:id="8"/>
      <w:r>
        <w:rPr/>
      </w:r>
      <w:r>
        <w:rPr/>
        <w:t>一、止血类（</w:t>
      </w:r>
      <w:r>
        <w:rPr>
          <w:rFonts w:ascii="Times New Roman" w:eastAsia="Times New Roman"/>
        </w:rPr>
        <w:t>III </w:t>
      </w:r>
      <w:r>
        <w:rPr/>
        <w:t>类）医用耗材产品</w:t>
      </w:r>
    </w:p>
    <w:p>
      <w:pPr>
        <w:pStyle w:val="BodyText"/>
        <w:spacing w:line="328" w:lineRule="auto" w:before="157"/>
        <w:ind w:right="436" w:firstLine="639"/>
        <w:jc w:val="both"/>
      </w:pPr>
      <w:r>
        <w:rPr/>
        <w:t>1.本次京津冀公立医院联合采购止血类（III</w:t>
      </w:r>
      <w:r>
        <w:rPr>
          <w:spacing w:val="-9"/>
        </w:rPr>
        <w:t> 类</w:t>
      </w:r>
      <w:r>
        <w:rPr/>
        <w:t>）医用</w:t>
      </w:r>
      <w:r>
        <w:rPr>
          <w:spacing w:val="-2"/>
        </w:rPr>
        <w:t>耗材是指应用于生物体出血部位，通过加速血液凝固过程达</w:t>
      </w:r>
      <w:r>
        <w:rPr>
          <w:spacing w:val="-15"/>
        </w:rPr>
        <w:t>到止血目的，且依据《医疗器械注册管理办法》，于 </w:t>
      </w:r>
      <w:r>
        <w:rPr/>
        <w:t>2017</w:t>
      </w:r>
      <w:r>
        <w:rPr>
          <w:spacing w:val="-41"/>
        </w:rPr>
        <w:t> 年</w:t>
      </w:r>
    </w:p>
    <w:p>
      <w:pPr>
        <w:pStyle w:val="BodyText"/>
        <w:spacing w:line="405" w:lineRule="exact"/>
      </w:pPr>
      <w:r>
        <w:rPr/>
        <w:t>3</w:t>
      </w:r>
      <w:r>
        <w:rPr>
          <w:spacing w:val="-55"/>
        </w:rPr>
        <w:t> 月 </w:t>
      </w:r>
      <w:r>
        <w:rPr/>
        <w:t>30</w:t>
      </w:r>
      <w:r>
        <w:rPr>
          <w:spacing w:val="-10"/>
        </w:rPr>
        <w:t> 日前取得第三类医疗器械注册证的医用耗材。</w:t>
      </w:r>
    </w:p>
    <w:p>
      <w:pPr>
        <w:pStyle w:val="BodyText"/>
        <w:spacing w:line="328" w:lineRule="auto" w:before="149"/>
        <w:ind w:right="282" w:firstLine="639"/>
      </w:pPr>
      <w:r>
        <w:rPr/>
        <w:t>2.本次京津冀公立医院联合采购止血类（III</w:t>
      </w:r>
      <w:r>
        <w:rPr>
          <w:spacing w:val="-9"/>
        </w:rPr>
        <w:t> 类</w:t>
      </w:r>
      <w:r>
        <w:rPr/>
        <w:t>）医用</w:t>
      </w:r>
      <w:r>
        <w:rPr>
          <w:spacing w:val="-4"/>
        </w:rPr>
        <w:t>耗材的涉及学科为外科、妇产科、骨科、神经外科；适用范</w:t>
      </w:r>
      <w:r>
        <w:rPr>
          <w:spacing w:val="0"/>
        </w:rPr>
        <w:t>围包括体内、体表；产品主要成分为纤维素衍生物、明胶、</w:t>
      </w:r>
      <w:r>
        <w:rPr>
          <w:spacing w:val="-20"/>
        </w:rPr>
        <w:t>胶原、透明质酸、多微孔多聚糖、壳聚糖及其衍生物、蜂蜡、</w:t>
      </w:r>
      <w:r>
        <w:rPr>
          <w:spacing w:val="-11"/>
        </w:rPr>
        <w:t>氰基丙烯酸、藻酸盐；产品形态为纱布、海绵、粉、膜、流体胶、非织布、胶、蜡。</w:t>
      </w:r>
    </w:p>
    <w:p>
      <w:pPr>
        <w:pStyle w:val="BodyText"/>
        <w:spacing w:line="328" w:lineRule="auto"/>
        <w:ind w:right="436" w:firstLine="639"/>
        <w:jc w:val="both"/>
      </w:pPr>
      <w:r>
        <w:rPr/>
        <w:t>3.本次京津冀公立医院联合采购止血类（III</w:t>
      </w:r>
      <w:r>
        <w:rPr>
          <w:spacing w:val="-9"/>
        </w:rPr>
        <w:t> 类</w:t>
      </w:r>
      <w:r>
        <w:rPr/>
        <w:t>）医用</w:t>
      </w:r>
      <w:r>
        <w:rPr>
          <w:spacing w:val="-2"/>
        </w:rPr>
        <w:t>耗材不包括具有止血作用的手术器械、仪器设备和上述范围以外的医用耗材。</w:t>
      </w:r>
    </w:p>
    <w:p>
      <w:pPr>
        <w:pStyle w:val="BodyText"/>
        <w:spacing w:before="18"/>
        <w:ind w:left="760"/>
      </w:pPr>
      <w:bookmarkStart w:name="_bookmark8" w:id="9"/>
      <w:bookmarkEnd w:id="9"/>
      <w:r>
        <w:rPr/>
      </w:r>
      <w:r>
        <w:rPr/>
        <w:t>二、防粘连类（</w:t>
      </w:r>
      <w:r>
        <w:rPr>
          <w:rFonts w:ascii="Times New Roman" w:eastAsia="Times New Roman"/>
        </w:rPr>
        <w:t>III </w:t>
      </w:r>
      <w:r>
        <w:rPr/>
        <w:t>类）医用耗材产品</w:t>
      </w:r>
    </w:p>
    <w:p>
      <w:pPr>
        <w:pStyle w:val="BodyText"/>
        <w:spacing w:line="328" w:lineRule="auto" w:before="158"/>
        <w:ind w:right="436" w:firstLine="639"/>
        <w:jc w:val="both"/>
      </w:pPr>
      <w:r>
        <w:rPr/>
        <w:t>1.本次京津冀公立医院联合采购防粘连类（III</w:t>
      </w:r>
      <w:r>
        <w:rPr>
          <w:spacing w:val="-10"/>
        </w:rPr>
        <w:t> 类</w:t>
      </w:r>
      <w:r>
        <w:rPr/>
        <w:t>）医</w:t>
      </w:r>
      <w:r>
        <w:rPr>
          <w:spacing w:val="-2"/>
        </w:rPr>
        <w:t>用耗材是指可以将患处和周边组织物理性隔离，具有适度的</w:t>
      </w:r>
      <w:r>
        <w:rPr>
          <w:spacing w:val="-5"/>
        </w:rPr>
        <w:t>柔软性，在组织愈合过程中起到防止生物组织彼此粘连的作</w:t>
      </w:r>
    </w:p>
    <w:p>
      <w:pPr>
        <w:spacing w:after="0" w:line="328" w:lineRule="auto"/>
        <w:jc w:val="both"/>
        <w:sectPr>
          <w:pgSz w:w="11910" w:h="16840"/>
          <w:pgMar w:header="0" w:footer="1672" w:top="1440" w:bottom="1860" w:left="1680" w:right="1360"/>
        </w:sectPr>
      </w:pPr>
    </w:p>
    <w:p>
      <w:pPr>
        <w:pStyle w:val="BodyText"/>
        <w:spacing w:line="328" w:lineRule="auto" w:before="40"/>
        <w:ind w:right="438"/>
      </w:pPr>
      <w:r>
        <w:rPr>
          <w:spacing w:val="-26"/>
        </w:rPr>
        <w:t>用，且依据《医疗器械注册管理办法》，于 </w:t>
      </w:r>
      <w:r>
        <w:rPr/>
        <w:t>2017</w:t>
      </w:r>
      <w:r>
        <w:rPr>
          <w:spacing w:val="-55"/>
        </w:rPr>
        <w:t> 年 </w:t>
      </w:r>
      <w:r>
        <w:rPr/>
        <w:t>3</w:t>
      </w:r>
      <w:r>
        <w:rPr>
          <w:spacing w:val="-56"/>
        </w:rPr>
        <w:t> 月 </w:t>
      </w:r>
      <w:r>
        <w:rPr/>
        <w:t>30</w:t>
      </w:r>
      <w:r>
        <w:rPr>
          <w:spacing w:val="-42"/>
        </w:rPr>
        <w:t> 日前取得第三类医疗器械注册证的医用耗材。</w:t>
      </w:r>
    </w:p>
    <w:p>
      <w:pPr>
        <w:pStyle w:val="BodyText"/>
        <w:spacing w:line="328" w:lineRule="auto"/>
        <w:ind w:right="280" w:firstLine="639"/>
      </w:pPr>
      <w:r>
        <w:rPr/>
        <w:t>2.本次京津冀公立医院联合采购防粘连类（III 类）医用耗材涉及的学科为外科、妇产科、骨科、神经外科；适用的人体范围为体内，包括腹（盆）腔、椎管、肌腱、宫腔、颅内；产品主要成分为壳聚糖及其衍生物、聚乳酸及其共聚物、透明质酸、纤维素衍生物、胶原、聚四氟乙烯、聚乙二醇；产品形态为液、膜、凝胶。</w:t>
      </w:r>
    </w:p>
    <w:p>
      <w:pPr>
        <w:pStyle w:val="BodyText"/>
        <w:spacing w:line="328" w:lineRule="auto"/>
        <w:ind w:right="436" w:firstLine="639"/>
        <w:jc w:val="both"/>
      </w:pPr>
      <w:r>
        <w:rPr/>
        <w:t>3.本次京津冀公立医院联合采购防粘连类（III</w:t>
      </w:r>
      <w:r>
        <w:rPr>
          <w:spacing w:val="-10"/>
        </w:rPr>
        <w:t> 类</w:t>
      </w:r>
      <w:r>
        <w:rPr/>
        <w:t>）医</w:t>
      </w:r>
      <w:r>
        <w:rPr>
          <w:spacing w:val="-3"/>
        </w:rPr>
        <w:t>用耗材不包括具有防粘连作用的手术器械、仪器设备、补片和上述范围以外的医用耗材。</w:t>
      </w:r>
    </w:p>
    <w:p>
      <w:pPr>
        <w:spacing w:after="0" w:line="328" w:lineRule="auto"/>
        <w:jc w:val="both"/>
        <w:sectPr>
          <w:pgSz w:w="11910" w:h="16840"/>
          <w:pgMar w:header="0" w:footer="1672" w:top="1520" w:bottom="1860" w:left="1680" w:right="1360"/>
        </w:sectPr>
      </w:pPr>
    </w:p>
    <w:p>
      <w:pPr>
        <w:pStyle w:val="Heading1"/>
        <w:tabs>
          <w:tab w:pos="4164" w:val="left" w:leader="none"/>
        </w:tabs>
        <w:ind w:left="1743"/>
      </w:pPr>
      <w:bookmarkStart w:name="_bookmark9" w:id="10"/>
      <w:bookmarkEnd w:id="10"/>
      <w:r>
        <w:rPr/>
      </w:r>
      <w:r>
        <w:rPr/>
        <w:t>第三部分</w:t>
        <w:tab/>
        <w:t>联合采购项目</w:t>
      </w:r>
      <w:r>
        <w:rPr>
          <w:spacing w:val="-3"/>
        </w:rPr>
        <w:t>要</w:t>
      </w:r>
      <w:r>
        <w:rPr/>
        <w:t>求</w:t>
      </w:r>
    </w:p>
    <w:p>
      <w:pPr>
        <w:pStyle w:val="BodyText"/>
        <w:spacing w:before="12"/>
        <w:ind w:left="0"/>
        <w:rPr>
          <w:rFonts w:ascii="PMingLiU"/>
          <w:sz w:val="34"/>
        </w:rPr>
      </w:pPr>
    </w:p>
    <w:p>
      <w:pPr>
        <w:pStyle w:val="BodyText"/>
        <w:ind w:left="760"/>
      </w:pPr>
      <w:bookmarkStart w:name="_bookmark10" w:id="11"/>
      <w:bookmarkEnd w:id="11"/>
      <w:r>
        <w:rPr/>
      </w:r>
      <w:r>
        <w:rPr/>
        <w:t>一、采购方式</w:t>
      </w:r>
    </w:p>
    <w:p>
      <w:pPr>
        <w:pStyle w:val="BodyText"/>
        <w:spacing w:before="158"/>
        <w:ind w:left="760"/>
      </w:pPr>
      <w:r>
        <w:rPr/>
        <w:t>实行谈判挂网采购方式。</w:t>
      </w:r>
    </w:p>
    <w:p>
      <w:pPr>
        <w:pStyle w:val="BodyText"/>
        <w:spacing w:before="182"/>
        <w:ind w:left="760"/>
      </w:pPr>
      <w:bookmarkStart w:name="_bookmark11" w:id="12"/>
      <w:bookmarkEnd w:id="12"/>
      <w:r>
        <w:rPr/>
      </w:r>
      <w:r>
        <w:rPr/>
        <w:t>二、资格要求（实质性要求）</w:t>
      </w:r>
    </w:p>
    <w:p>
      <w:pPr>
        <w:pStyle w:val="BodyText"/>
        <w:spacing w:line="350" w:lineRule="auto" w:before="190"/>
        <w:ind w:right="270" w:firstLine="639"/>
      </w:pPr>
      <w:r>
        <w:rPr/>
        <w:t>（一）本次联合采购实行医疗器械生产企业直接申报。生产企业设立的仅销售本公司产品的商业公司、进口产品国内总代理视同生产企业。</w:t>
      </w:r>
    </w:p>
    <w:p>
      <w:pPr>
        <w:pStyle w:val="BodyText"/>
        <w:spacing w:line="350" w:lineRule="auto" w:before="4"/>
        <w:ind w:right="437" w:firstLine="639"/>
        <w:jc w:val="both"/>
      </w:pPr>
      <w:r>
        <w:rPr>
          <w:spacing w:val="-1"/>
        </w:rPr>
        <w:t>（二</w:t>
      </w:r>
      <w:r>
        <w:rPr>
          <w:spacing w:val="-9"/>
        </w:rPr>
        <w:t>）</w:t>
      </w:r>
      <w:r>
        <w:rPr>
          <w:spacing w:val="-1"/>
        </w:rPr>
        <w:t>投标企业近两年内不得有严重违反《医疗器械生</w:t>
      </w:r>
      <w:r>
        <w:rPr>
          <w:spacing w:val="-4"/>
        </w:rPr>
        <w:t>产监督管理办法》或《医疗器械经营监督管理办法》规定的记录。</w:t>
      </w:r>
    </w:p>
    <w:p>
      <w:pPr>
        <w:pStyle w:val="BodyText"/>
        <w:spacing w:before="4"/>
        <w:ind w:left="760"/>
      </w:pPr>
      <w:bookmarkStart w:name="_bookmark12" w:id="13"/>
      <w:bookmarkEnd w:id="13"/>
      <w:r>
        <w:rPr/>
      </w:r>
      <w:r>
        <w:rPr/>
        <w:t>三、采购要求</w:t>
      </w:r>
    </w:p>
    <w:p>
      <w:pPr>
        <w:pStyle w:val="BodyText"/>
        <w:spacing w:line="350" w:lineRule="auto" w:before="190"/>
        <w:ind w:right="438" w:firstLine="639"/>
        <w:jc w:val="both"/>
      </w:pPr>
      <w:r>
        <w:rPr>
          <w:spacing w:val="10"/>
        </w:rPr>
        <w:t>各公立医院应当与供货企业签订采购合同和廉洁购销</w:t>
      </w:r>
      <w:r>
        <w:rPr>
          <w:spacing w:val="-5"/>
        </w:rPr>
        <w:t>合同，并通过“京津冀医用耗材联合采购平台”进行网上采购。供货企业必须严格按照合同约定及时配送。</w:t>
      </w:r>
    </w:p>
    <w:p>
      <w:pPr>
        <w:pStyle w:val="BodyText"/>
        <w:spacing w:before="5"/>
        <w:ind w:left="760"/>
      </w:pPr>
      <w:bookmarkStart w:name="_bookmark13" w:id="14"/>
      <w:bookmarkEnd w:id="14"/>
      <w:r>
        <w:rPr/>
      </w:r>
      <w:r>
        <w:rPr/>
        <w:t>四、付款要求</w:t>
      </w:r>
    </w:p>
    <w:p>
      <w:pPr>
        <w:pStyle w:val="BodyText"/>
        <w:spacing w:before="190"/>
        <w:ind w:left="760"/>
      </w:pPr>
      <w:r>
        <w:rPr/>
        <w:t>各公立医院必须严格按照合同约定的时间结算货款。</w:t>
      </w:r>
    </w:p>
    <w:p>
      <w:pPr>
        <w:spacing w:after="0"/>
        <w:sectPr>
          <w:pgSz w:w="11910" w:h="16840"/>
          <w:pgMar w:header="0" w:footer="1672" w:top="1440" w:bottom="1860" w:left="1680" w:right="1360"/>
        </w:sectPr>
      </w:pPr>
    </w:p>
    <w:p>
      <w:pPr>
        <w:pStyle w:val="Heading1"/>
        <w:tabs>
          <w:tab w:pos="5044" w:val="left" w:leader="none"/>
        </w:tabs>
        <w:spacing w:before="32"/>
      </w:pPr>
      <w:bookmarkStart w:name="_bookmark14" w:id="15"/>
      <w:bookmarkEnd w:id="15"/>
      <w:r>
        <w:rPr/>
      </w:r>
      <w:r>
        <w:rPr/>
        <w:t>第四部分</w:t>
        <w:tab/>
        <w:t>采购</w:t>
      </w:r>
      <w:r>
        <w:rPr>
          <w:spacing w:val="-3"/>
        </w:rPr>
        <w:t>程</w:t>
      </w:r>
      <w:r>
        <w:rPr/>
        <w:t>序</w:t>
      </w:r>
    </w:p>
    <w:p>
      <w:pPr>
        <w:pStyle w:val="BodyText"/>
        <w:spacing w:before="417"/>
        <w:ind w:left="760"/>
      </w:pPr>
      <w:bookmarkStart w:name="_bookmark15" w:id="16"/>
      <w:bookmarkEnd w:id="16"/>
      <w:r>
        <w:rPr/>
      </w:r>
      <w:r>
        <w:rPr/>
        <w:t>一、信息更新</w:t>
      </w:r>
    </w:p>
    <w:p>
      <w:pPr>
        <w:pStyle w:val="BodyText"/>
        <w:spacing w:line="328" w:lineRule="auto" w:before="158"/>
        <w:ind w:right="117" w:firstLine="639"/>
      </w:pPr>
      <w:r>
        <w:rPr>
          <w:spacing w:val="-4"/>
        </w:rPr>
        <w:t>凡已在“京津冀医用耗材联合采购平台”完成企业及产 </w:t>
      </w:r>
      <w:r>
        <w:rPr>
          <w:spacing w:val="-6"/>
        </w:rPr>
        <w:t>品注册并通过复审的，如已填报信息中的企业和产品注册证 </w:t>
      </w:r>
      <w:r>
        <w:rPr>
          <w:spacing w:val="-3"/>
        </w:rPr>
        <w:t>等信息发生更新，应由被授权人携带授权书及相关证明材料， 加盖企业公章后递交至我中心。</w:t>
      </w:r>
    </w:p>
    <w:p>
      <w:pPr>
        <w:pStyle w:val="BodyText"/>
        <w:spacing w:before="26"/>
        <w:ind w:left="760"/>
      </w:pPr>
      <w:bookmarkStart w:name="_bookmark16" w:id="17"/>
      <w:bookmarkEnd w:id="17"/>
      <w:r>
        <w:rPr/>
      </w:r>
      <w:r>
        <w:rPr/>
        <w:t>二、企业报价</w:t>
      </w:r>
    </w:p>
    <w:p>
      <w:pPr>
        <w:pStyle w:val="BodyText"/>
        <w:spacing w:line="328" w:lineRule="auto" w:before="157"/>
        <w:ind w:right="437" w:firstLine="639"/>
        <w:jc w:val="both"/>
      </w:pPr>
      <w:r>
        <w:rPr>
          <w:spacing w:val="-3"/>
        </w:rPr>
        <w:t>生产企业使用数字证书登录采购平台，在不高于“京津冀历史采购最低价”的前提下，于规定时间内对每个已填报</w:t>
      </w:r>
      <w:r>
        <w:rPr>
          <w:spacing w:val="-2"/>
        </w:rPr>
        <w:t>且通过产品复审的品规进行报价</w:t>
      </w:r>
      <w:r>
        <w:rPr/>
        <w:t>（无京津冀历史采购价格的</w:t>
      </w:r>
      <w:r>
        <w:rPr>
          <w:spacing w:val="-8"/>
        </w:rPr>
        <w:t>品规，由企业自行合理报价</w:t>
      </w:r>
      <w:r>
        <w:rPr>
          <w:spacing w:val="-161"/>
        </w:rPr>
        <w:t>）</w:t>
      </w:r>
      <w:r>
        <w:rPr>
          <w:spacing w:val="-12"/>
        </w:rPr>
        <w:t>。在报价截止时间前，可以对报价进行修改，报价时间截止后，不能进行任何修改。</w:t>
      </w:r>
    </w:p>
    <w:p>
      <w:pPr>
        <w:pStyle w:val="BodyText"/>
        <w:spacing w:line="402" w:lineRule="exact"/>
        <w:ind w:left="760"/>
      </w:pPr>
      <w:r>
        <w:rPr/>
        <w:t>报价应符合以下要求：</w:t>
      </w:r>
    </w:p>
    <w:p>
      <w:pPr>
        <w:pStyle w:val="BodyText"/>
        <w:spacing w:line="350" w:lineRule="auto" w:before="183"/>
        <w:ind w:right="438" w:firstLine="639"/>
      </w:pPr>
      <w:r>
        <w:rPr>
          <w:spacing w:val="-1"/>
        </w:rPr>
        <w:t>1</w:t>
      </w:r>
      <w:r>
        <w:rPr>
          <w:spacing w:val="-20"/>
        </w:rPr>
        <w:t>.投标报价以人民币填报，单位为“元”，保留至小数点后两位。</w:t>
      </w:r>
    </w:p>
    <w:p>
      <w:pPr>
        <w:pStyle w:val="BodyText"/>
        <w:spacing w:line="350" w:lineRule="auto" w:before="3"/>
        <w:ind w:right="436" w:firstLine="639"/>
        <w:jc w:val="both"/>
      </w:pPr>
      <w:r>
        <w:rPr>
          <w:spacing w:val="-1"/>
        </w:rPr>
        <w:t>2</w:t>
      </w:r>
      <w:r>
        <w:rPr>
          <w:spacing w:val="-2"/>
        </w:rPr>
        <w:t>.报价应为公立医院实际购入价格。同厂家同产品名称</w:t>
      </w:r>
      <w:r>
        <w:rPr>
          <w:spacing w:val="-3"/>
        </w:rPr>
        <w:t>不同规格型号的耗材产品之间，不得出现投标报价倒挂。如有倒挂将由专家作调平处理。</w:t>
      </w:r>
    </w:p>
    <w:p>
      <w:pPr>
        <w:pStyle w:val="BodyText"/>
        <w:spacing w:line="350" w:lineRule="auto" w:before="4"/>
        <w:ind w:right="394" w:firstLine="639"/>
      </w:pPr>
      <w:r>
        <w:rPr/>
        <w:t>3.每条耗材产品只允许有一个报价，任何有选择的报价将不予接受。</w:t>
      </w:r>
    </w:p>
    <w:p>
      <w:pPr>
        <w:pStyle w:val="BodyText"/>
        <w:spacing w:line="350" w:lineRule="auto" w:before="3"/>
        <w:ind w:right="270" w:firstLine="639"/>
      </w:pPr>
      <w:r>
        <w:rPr/>
        <w:t>4.报价时，企业须以招标系统产品信息中“报价单位” 字段下显示的单位进行报价。</w:t>
      </w:r>
    </w:p>
    <w:p>
      <w:pPr>
        <w:spacing w:after="0" w:line="350" w:lineRule="auto"/>
        <w:sectPr>
          <w:pgSz w:w="11910" w:h="16840"/>
          <w:pgMar w:header="0" w:footer="1672" w:top="1440" w:bottom="1860" w:left="1680" w:right="1360"/>
        </w:sectPr>
      </w:pPr>
    </w:p>
    <w:p>
      <w:pPr>
        <w:pStyle w:val="BodyText"/>
        <w:spacing w:line="350" w:lineRule="auto" w:before="32"/>
        <w:ind w:right="394" w:firstLine="639"/>
      </w:pPr>
      <w:r>
        <w:rPr/>
        <w:t>5.规定时间内未报价或报错价的，报价结束后不得补报或修改，由此引起的一切后果由企业自行负责。</w:t>
      </w:r>
    </w:p>
    <w:p>
      <w:pPr>
        <w:pStyle w:val="BodyText"/>
        <w:spacing w:line="350" w:lineRule="auto" w:before="3"/>
        <w:ind w:right="394" w:firstLine="639"/>
      </w:pPr>
      <w:r>
        <w:rPr/>
        <w:t>6.在采购周期内如遇有政策性价格调整，依据相关文件执行。</w:t>
      </w:r>
    </w:p>
    <w:p>
      <w:pPr>
        <w:pStyle w:val="BodyText"/>
        <w:spacing w:before="3"/>
        <w:ind w:left="760"/>
      </w:pPr>
      <w:bookmarkStart w:name="_bookmark17" w:id="18"/>
      <w:bookmarkEnd w:id="18"/>
      <w:r>
        <w:rPr/>
      </w:r>
      <w:r>
        <w:rPr/>
        <w:t>三、报价解密和结果公示</w:t>
      </w:r>
    </w:p>
    <w:p>
      <w:pPr>
        <w:pStyle w:val="BodyText"/>
        <w:spacing w:line="350" w:lineRule="auto" w:before="190"/>
        <w:ind w:right="393" w:firstLine="639"/>
      </w:pPr>
      <w:r>
        <w:rPr/>
        <w:t>（一）企业须使用数字证书登录采购平台进行网上报价解密，无需到开标现场。</w:t>
      </w:r>
    </w:p>
    <w:p>
      <w:pPr>
        <w:pStyle w:val="BodyText"/>
        <w:spacing w:line="350" w:lineRule="auto" w:before="3"/>
        <w:ind w:right="393" w:firstLine="639"/>
      </w:pPr>
      <w:r>
        <w:rPr/>
        <w:t>（二）企业应在规定时间内进行解密，逾期未进行解密的视为放弃投标。</w:t>
      </w:r>
    </w:p>
    <w:p>
      <w:pPr>
        <w:pStyle w:val="BodyText"/>
        <w:spacing w:before="3"/>
        <w:ind w:left="760"/>
      </w:pPr>
      <w:r>
        <w:rPr/>
        <w:t>（三）报价解密后，企业报价为空的将视为无效投标。</w:t>
      </w:r>
    </w:p>
    <w:p>
      <w:pPr>
        <w:pStyle w:val="BodyText"/>
        <w:spacing w:line="350" w:lineRule="auto" w:before="190"/>
        <w:ind w:right="277" w:firstLine="639"/>
      </w:pPr>
      <w:r>
        <w:rPr/>
        <w:t>（四</w:t>
      </w:r>
      <w:r>
        <w:rPr>
          <w:spacing w:val="-9"/>
        </w:rPr>
        <w:t>）</w:t>
      </w:r>
      <w:r>
        <w:rPr>
          <w:spacing w:val="-1"/>
        </w:rPr>
        <w:t>市医药采购中心在有关方面的监督下，按时关闭</w:t>
      </w:r>
      <w:r>
        <w:rPr>
          <w:spacing w:val="-4"/>
        </w:rPr>
        <w:t>报价系统，在规定时间通过采购平台对报价解密结果进行公</w:t>
      </w:r>
      <w:r>
        <w:rPr>
          <w:spacing w:val="-15"/>
        </w:rPr>
        <w:t>示。公示期间，企业可使用数字证书登录采购平台进行查看。</w:t>
      </w:r>
      <w:r>
        <w:rPr>
          <w:spacing w:val="-7"/>
        </w:rPr>
        <w:t>同时，将投标企业报价解密结果刻录成数据光盘报京津冀医用耗材联合采购工作小组备案。</w:t>
      </w:r>
    </w:p>
    <w:p>
      <w:pPr>
        <w:pStyle w:val="BodyText"/>
        <w:spacing w:before="7"/>
        <w:ind w:left="760"/>
      </w:pPr>
      <w:bookmarkStart w:name="_bookmark18" w:id="19"/>
      <w:bookmarkEnd w:id="19"/>
      <w:r>
        <w:rPr/>
      </w:r>
      <w:r>
        <w:rPr/>
        <w:t>四、谈判挂网采购</w:t>
      </w:r>
    </w:p>
    <w:p>
      <w:pPr>
        <w:pStyle w:val="BodyText"/>
        <w:spacing w:line="350" w:lineRule="auto" w:before="190"/>
        <w:ind w:right="437" w:firstLine="639"/>
        <w:jc w:val="both"/>
      </w:pPr>
      <w:r>
        <w:rPr>
          <w:spacing w:val="10"/>
        </w:rPr>
        <w:t>三地卫生计生委从医用耗材评审专家库中抽取谈判专</w:t>
      </w:r>
      <w:r>
        <w:rPr>
          <w:spacing w:val="-5"/>
        </w:rPr>
        <w:t>家，形成价格谈判专家组。天津市医药采购中心组织价格谈</w:t>
      </w:r>
      <w:r>
        <w:rPr>
          <w:spacing w:val="-4"/>
        </w:rPr>
        <w:t>判专家组，根据企业填报的产品资质、医疗机构临床使用等</w:t>
      </w:r>
      <w:r>
        <w:rPr>
          <w:spacing w:val="-22"/>
        </w:rPr>
        <w:t>信息，结合企业报价和“京津冀历史采购最低价”，在不高于</w:t>
      </w:r>
      <w:r>
        <w:rPr>
          <w:spacing w:val="-3"/>
        </w:rPr>
        <w:t>企业报价的前提下，确定谈判价格</w:t>
      </w:r>
      <w:r>
        <w:rPr/>
        <w:t>（无京津冀历史采购价格</w:t>
      </w:r>
    </w:p>
    <w:p>
      <w:pPr>
        <w:spacing w:after="0" w:line="350" w:lineRule="auto"/>
        <w:jc w:val="both"/>
        <w:sectPr>
          <w:pgSz w:w="11910" w:h="16840"/>
          <w:pgMar w:header="0" w:footer="1672" w:top="1560" w:bottom="1860" w:left="1680" w:right="1360"/>
        </w:sectPr>
      </w:pPr>
    </w:p>
    <w:p>
      <w:pPr>
        <w:pStyle w:val="BodyText"/>
        <w:spacing w:line="350" w:lineRule="auto" w:before="32"/>
        <w:ind w:right="437"/>
      </w:pPr>
      <w:r>
        <w:rPr>
          <w:spacing w:val="-4"/>
        </w:rPr>
        <w:t>的品规，专家可参考同类相似产品的“京津冀历史采购最低</w:t>
      </w:r>
      <w:r>
        <w:rPr>
          <w:spacing w:val="-21"/>
          <w:w w:val="100"/>
        </w:rPr>
        <w:t>价”，确定谈判价格</w:t>
      </w:r>
      <w:r>
        <w:rPr>
          <w:spacing w:val="-161"/>
          <w:w w:val="100"/>
        </w:rPr>
        <w:t>）。</w:t>
      </w:r>
    </w:p>
    <w:p>
      <w:pPr>
        <w:pStyle w:val="BodyText"/>
        <w:spacing w:line="350" w:lineRule="auto" w:before="3"/>
        <w:ind w:right="437" w:firstLine="639"/>
        <w:jc w:val="both"/>
      </w:pPr>
      <w:r>
        <w:rPr>
          <w:spacing w:val="10"/>
        </w:rPr>
        <w:t>企业使用数字证书登录采购平台对价格谈判专家组给</w:t>
      </w:r>
      <w:r>
        <w:rPr>
          <w:spacing w:val="-3"/>
        </w:rPr>
        <w:t>出的谈判价格进行操作。如企业确认谈判价格，则该价格作</w:t>
      </w:r>
      <w:r>
        <w:rPr>
          <w:spacing w:val="-20"/>
        </w:rPr>
        <w:t>为该品规的“谈判参考价”。采购平台将公示所有经企业确认的“谈判参考价”。公示结果报京津冀医用耗材联合采购工作</w:t>
      </w:r>
      <w:r>
        <w:rPr>
          <w:spacing w:val="-4"/>
        </w:rPr>
        <w:t>小组。医疗机构</w:t>
      </w:r>
      <w:r>
        <w:rPr/>
        <w:t>（或医院集团</w:t>
      </w:r>
      <w:r>
        <w:rPr>
          <w:spacing w:val="-4"/>
        </w:rPr>
        <w:t>）</w:t>
      </w:r>
      <w:r>
        <w:rPr>
          <w:spacing w:val="-1"/>
        </w:rPr>
        <w:t>作为采购主体，发挥批量采</w:t>
      </w:r>
      <w:r>
        <w:rPr>
          <w:spacing w:val="-4"/>
        </w:rPr>
        <w:t>购优势，在不高于“谈判参考价”的前提下，与供货企业议定价格，进行挂网采购。</w:t>
      </w:r>
    </w:p>
    <w:p>
      <w:pPr>
        <w:pStyle w:val="BodyText"/>
        <w:spacing w:line="350" w:lineRule="auto" w:before="10"/>
        <w:ind w:right="436" w:firstLine="639"/>
        <w:jc w:val="both"/>
      </w:pPr>
      <w:r>
        <w:rPr>
          <w:spacing w:val="-3"/>
        </w:rPr>
        <w:t>企业不确认谈判价格，即价格谈判未成功的品规，如医疗机构确有临床需求，该品规列为重点监控产品，医疗机构在不高于企业报价的前提下，参考专家给出的谈判价格议价后进行挂网采购。</w:t>
      </w:r>
    </w:p>
    <w:p>
      <w:pPr>
        <w:pStyle w:val="BodyText"/>
        <w:spacing w:line="350" w:lineRule="auto" w:before="6"/>
        <w:ind w:right="438" w:firstLine="639"/>
        <w:jc w:val="both"/>
      </w:pPr>
      <w:r>
        <w:rPr>
          <w:spacing w:val="-2"/>
        </w:rPr>
        <w:t>各单位要在实际采购过程中共享其他单位议价成果，动态调整本单位采购成交价格，就低趋同。</w:t>
      </w:r>
    </w:p>
    <w:p>
      <w:pPr>
        <w:pStyle w:val="BodyText"/>
        <w:spacing w:before="3"/>
        <w:ind w:left="760"/>
      </w:pPr>
      <w:bookmarkStart w:name="_bookmark19" w:id="20"/>
      <w:bookmarkEnd w:id="20"/>
      <w:r>
        <w:rPr/>
      </w:r>
      <w:r>
        <w:rPr/>
        <w:t>五、合同签订及执行</w:t>
      </w:r>
    </w:p>
    <w:p>
      <w:pPr>
        <w:pStyle w:val="BodyText"/>
        <w:spacing w:line="328" w:lineRule="auto" w:before="158"/>
        <w:ind w:right="438" w:firstLine="639"/>
        <w:jc w:val="both"/>
      </w:pPr>
      <w:r>
        <w:rPr>
          <w:spacing w:val="10"/>
        </w:rPr>
        <w:t>各公立医院应当与供货企业签订采购合同和廉洁购销</w:t>
      </w:r>
      <w:r>
        <w:rPr>
          <w:spacing w:val="-5"/>
        </w:rPr>
        <w:t>合同，并通过“京津冀医用耗材联合采购平台”进行网上采购。供货企业必须严格按照合同约定及时配送。</w:t>
      </w:r>
    </w:p>
    <w:p>
      <w:pPr>
        <w:pStyle w:val="BodyText"/>
        <w:spacing w:before="27"/>
        <w:ind w:left="760"/>
      </w:pPr>
      <w:bookmarkStart w:name="_bookmark20" w:id="21"/>
      <w:bookmarkEnd w:id="21"/>
      <w:r>
        <w:rPr/>
      </w:r>
      <w:r>
        <w:rPr/>
        <w:t>六、诚信档案管理</w:t>
      </w:r>
    </w:p>
    <w:p>
      <w:pPr>
        <w:pStyle w:val="BodyText"/>
        <w:spacing w:line="328" w:lineRule="auto" w:before="157"/>
        <w:ind w:right="437" w:firstLine="639"/>
        <w:jc w:val="both"/>
      </w:pPr>
      <w:r>
        <w:rPr>
          <w:spacing w:val="-4"/>
        </w:rPr>
        <w:t>加强监管，严格企业诚信档案管理。对存在包括但不限</w:t>
      </w:r>
      <w:r>
        <w:rPr>
          <w:spacing w:val="-3"/>
        </w:rPr>
        <w:t>于下列违法违规行为的，经京津冀医用耗材联合采购工作小</w:t>
      </w:r>
    </w:p>
    <w:p>
      <w:pPr>
        <w:spacing w:after="0" w:line="328" w:lineRule="auto"/>
        <w:jc w:val="both"/>
        <w:sectPr>
          <w:pgSz w:w="11910" w:h="16840"/>
          <w:pgMar w:header="0" w:footer="1672" w:top="1560" w:bottom="1860" w:left="1680" w:right="1360"/>
        </w:sectPr>
      </w:pPr>
    </w:p>
    <w:p>
      <w:pPr>
        <w:pStyle w:val="BodyText"/>
        <w:spacing w:line="328" w:lineRule="auto" w:before="40"/>
        <w:ind w:right="437"/>
        <w:jc w:val="both"/>
      </w:pPr>
      <w:r>
        <w:rPr>
          <w:spacing w:val="-4"/>
        </w:rPr>
        <w:t>组确认后，由天津市医药采购中心将违法违规企业的法人代</w:t>
      </w:r>
      <w:r>
        <w:rPr>
          <w:spacing w:val="-3"/>
        </w:rPr>
        <w:t>表及违法违规情况向社会公布，并上报国家有关部门；违反相关法律法规的，由有关部门依法查处。</w:t>
      </w:r>
    </w:p>
    <w:p>
      <w:pPr>
        <w:pStyle w:val="BodyText"/>
        <w:spacing w:line="405" w:lineRule="exact"/>
        <w:ind w:left="760"/>
      </w:pPr>
      <w:r>
        <w:rPr/>
        <w:t>（一）采购过程中提供虚假证明文件等不诚信行为的。</w:t>
      </w:r>
    </w:p>
    <w:p>
      <w:pPr>
        <w:pStyle w:val="BodyText"/>
        <w:spacing w:before="150"/>
        <w:ind w:left="760"/>
      </w:pPr>
      <w:r>
        <w:rPr/>
        <w:t>（二）蓄意抬高价格或恶意压低价格的。</w:t>
      </w:r>
    </w:p>
    <w:p>
      <w:pPr>
        <w:pStyle w:val="BodyText"/>
        <w:spacing w:before="150"/>
        <w:ind w:left="760"/>
      </w:pPr>
      <w:r>
        <w:rPr/>
        <w:t>（三）价格谈判成功后拒不签订合同的。</w:t>
      </w:r>
    </w:p>
    <w:p>
      <w:pPr>
        <w:pStyle w:val="BodyText"/>
        <w:spacing w:before="150"/>
        <w:ind w:left="760"/>
      </w:pPr>
      <w:r>
        <w:rPr/>
        <w:t>（四）供应耗材产品质量不符合标准规定的。</w:t>
      </w:r>
    </w:p>
    <w:p>
      <w:pPr>
        <w:pStyle w:val="BodyText"/>
        <w:spacing w:before="150"/>
        <w:ind w:left="760"/>
      </w:pPr>
      <w:r>
        <w:rPr/>
        <w:t>（五）未按合同规定及时配送供货的。</w:t>
      </w:r>
    </w:p>
    <w:p>
      <w:pPr>
        <w:pStyle w:val="BodyText"/>
        <w:spacing w:line="326" w:lineRule="auto" w:before="150"/>
        <w:ind w:right="393" w:firstLine="639"/>
      </w:pPr>
      <w:r>
        <w:rPr/>
        <w:t>（六）向采购工作机构、医疗机构或个人贿赂或变相贿赂的。</w:t>
      </w:r>
    </w:p>
    <w:p>
      <w:pPr>
        <w:pStyle w:val="BodyText"/>
        <w:spacing w:before="5"/>
        <w:ind w:left="760"/>
      </w:pPr>
      <w:r>
        <w:rPr/>
        <w:t>（七）发生群体不良事件的。</w:t>
      </w:r>
    </w:p>
    <w:p>
      <w:pPr>
        <w:spacing w:after="0"/>
        <w:sectPr>
          <w:pgSz w:w="11910" w:h="16840"/>
          <w:pgMar w:header="0" w:footer="1672" w:top="1520" w:bottom="1860" w:left="1680" w:right="1360"/>
        </w:sectPr>
      </w:pPr>
    </w:p>
    <w:p>
      <w:pPr>
        <w:pStyle w:val="Heading1"/>
        <w:tabs>
          <w:tab w:pos="5044" w:val="left" w:leader="none"/>
        </w:tabs>
        <w:spacing w:before="32"/>
      </w:pPr>
      <w:bookmarkStart w:name="_bookmark21" w:id="22"/>
      <w:bookmarkEnd w:id="22"/>
      <w:r>
        <w:rPr/>
      </w:r>
      <w:r>
        <w:rPr/>
        <w:t>第五部分</w:t>
        <w:tab/>
        <w:t>投标</w:t>
      </w:r>
      <w:r>
        <w:rPr>
          <w:spacing w:val="-3"/>
        </w:rPr>
        <w:t>须</w:t>
      </w:r>
      <w:r>
        <w:rPr/>
        <w:t>知</w:t>
      </w:r>
    </w:p>
    <w:p>
      <w:pPr>
        <w:pStyle w:val="Heading2"/>
        <w:spacing w:before="337"/>
        <w:ind w:left="1822"/>
      </w:pPr>
      <w:r>
        <w:rPr>
          <w:rFonts w:ascii="Times New Roman" w:eastAsia="Times New Roman"/>
        </w:rPr>
        <w:t>A </w:t>
      </w:r>
      <w:r>
        <w:rPr/>
        <w:t>说明</w:t>
      </w:r>
    </w:p>
    <w:p>
      <w:pPr>
        <w:pStyle w:val="BodyText"/>
        <w:spacing w:before="324"/>
        <w:ind w:left="760"/>
      </w:pPr>
      <w:bookmarkStart w:name="_bookmark22" w:id="23"/>
      <w:bookmarkEnd w:id="23"/>
      <w:r>
        <w:rPr/>
      </w:r>
      <w:r>
        <w:rPr/>
        <w:t>一、适用范围</w:t>
      </w:r>
    </w:p>
    <w:p>
      <w:pPr>
        <w:pStyle w:val="BodyText"/>
        <w:spacing w:line="350" w:lineRule="auto" w:before="190"/>
        <w:ind w:right="435" w:firstLine="639"/>
      </w:pPr>
      <w:r>
        <w:rPr/>
        <w:t>本采购文件仅适用于投标邀请函中所叙述项目耗材产品和相关服务的采购。</w:t>
      </w:r>
    </w:p>
    <w:p>
      <w:pPr>
        <w:pStyle w:val="BodyText"/>
        <w:spacing w:before="2"/>
        <w:ind w:left="760"/>
      </w:pPr>
      <w:bookmarkStart w:name="_bookmark23" w:id="24"/>
      <w:bookmarkEnd w:id="24"/>
      <w:r>
        <w:rPr/>
      </w:r>
      <w:r>
        <w:rPr/>
        <w:t>二、名词解释</w:t>
      </w:r>
    </w:p>
    <w:p>
      <w:pPr>
        <w:pStyle w:val="BodyText"/>
        <w:spacing w:line="350" w:lineRule="auto" w:before="190"/>
        <w:ind w:right="440" w:firstLine="639"/>
        <w:jc w:val="both"/>
      </w:pPr>
      <w:r>
        <w:rPr/>
        <w:t>1</w:t>
      </w:r>
      <w:r>
        <w:rPr>
          <w:spacing w:val="-23"/>
        </w:rPr>
        <w:t>.采购平台：特指“京津冀医用耗材联合采购平台”，为</w:t>
      </w:r>
      <w:r>
        <w:rPr>
          <w:spacing w:val="8"/>
        </w:rPr>
        <w:t>京津冀三地公立医院医用耗材集中采购活动提供服务的综合性网络系统。</w:t>
      </w:r>
    </w:p>
    <w:p>
      <w:pPr>
        <w:pStyle w:val="BodyText"/>
        <w:spacing w:line="350" w:lineRule="auto" w:before="5"/>
        <w:ind w:right="436" w:firstLine="639"/>
        <w:jc w:val="both"/>
      </w:pPr>
      <w:r>
        <w:rPr>
          <w:spacing w:val="-1"/>
        </w:rPr>
        <w:t>2</w:t>
      </w:r>
      <w:r>
        <w:rPr>
          <w:spacing w:val="-4"/>
        </w:rPr>
        <w:t>.投标人：指参加京津冀医用耗材联合采购活动的医用</w:t>
      </w:r>
      <w:r>
        <w:rPr>
          <w:spacing w:val="-3"/>
        </w:rPr>
        <w:t>耗材生产企业，生产企业设立的仅销售本公司产品的商业公司、进口产品国内总代理视同生产企业。</w:t>
      </w:r>
    </w:p>
    <w:p>
      <w:pPr>
        <w:pStyle w:val="BodyText"/>
        <w:spacing w:before="4"/>
        <w:ind w:left="760"/>
      </w:pPr>
      <w:bookmarkStart w:name="_bookmark24" w:id="25"/>
      <w:bookmarkEnd w:id="25"/>
      <w:r>
        <w:rPr/>
      </w:r>
      <w:r>
        <w:rPr/>
        <w:t>三、解释权</w:t>
      </w:r>
    </w:p>
    <w:p>
      <w:pPr>
        <w:pStyle w:val="BodyText"/>
        <w:spacing w:line="350" w:lineRule="auto" w:before="190"/>
        <w:ind w:right="393" w:firstLine="639"/>
      </w:pPr>
      <w:r>
        <w:rPr/>
        <w:t>1.本采购文件的最终解释权归采购工作机构所有。当对一个问题有多种解释时以采购工作机构解释为准。</w:t>
      </w:r>
    </w:p>
    <w:p>
      <w:pPr>
        <w:pStyle w:val="BodyText"/>
        <w:spacing w:line="350" w:lineRule="auto" w:before="3"/>
        <w:ind w:right="278" w:firstLine="639"/>
      </w:pPr>
      <w:r>
        <w:rPr>
          <w:spacing w:val="-1"/>
        </w:rPr>
        <w:t>2</w:t>
      </w:r>
      <w:r>
        <w:rPr>
          <w:spacing w:val="-14"/>
        </w:rPr>
        <w:t>.本文件未作须知明示，而又有相关法律、法规规定的， 采购工作机构将对此解释为依据有关法律、法规的规定。</w:t>
      </w:r>
    </w:p>
    <w:p>
      <w:pPr>
        <w:pStyle w:val="Heading2"/>
        <w:spacing w:before="79"/>
      </w:pPr>
      <w:r>
        <w:rPr>
          <w:rFonts w:ascii="Times New Roman" w:eastAsia="Times New Roman"/>
        </w:rPr>
        <w:t>B </w:t>
      </w:r>
      <w:r>
        <w:rPr/>
        <w:t>集中采购当事人</w:t>
      </w:r>
    </w:p>
    <w:p>
      <w:pPr>
        <w:pStyle w:val="BodyText"/>
        <w:spacing w:before="323"/>
        <w:ind w:left="760"/>
      </w:pPr>
      <w:bookmarkStart w:name="_bookmark25" w:id="26"/>
      <w:bookmarkEnd w:id="26"/>
      <w:r>
        <w:rPr/>
      </w:r>
      <w:r>
        <w:rPr/>
        <w:t>四、采购主体</w:t>
      </w:r>
    </w:p>
    <w:p>
      <w:pPr>
        <w:pStyle w:val="BodyText"/>
        <w:spacing w:before="191"/>
        <w:ind w:left="760"/>
      </w:pPr>
      <w:r>
        <w:rPr/>
        <w:t>京津冀三地二级以上公立医院（不含部队和武警所属医</w:t>
      </w:r>
    </w:p>
    <w:p>
      <w:pPr>
        <w:spacing w:after="0"/>
        <w:sectPr>
          <w:pgSz w:w="11910" w:h="16840"/>
          <w:pgMar w:header="0" w:footer="1672" w:top="1440" w:bottom="1860" w:left="1680" w:right="1360"/>
        </w:sectPr>
      </w:pPr>
    </w:p>
    <w:p>
      <w:pPr>
        <w:pStyle w:val="BodyText"/>
        <w:spacing w:before="32"/>
      </w:pPr>
      <w:r>
        <w:rPr>
          <w:w w:val="100"/>
        </w:rPr>
        <w:t>院</w:t>
      </w:r>
      <w:r>
        <w:rPr>
          <w:spacing w:val="-160"/>
          <w:w w:val="100"/>
        </w:rPr>
        <w:t>）</w:t>
      </w:r>
      <w:r>
        <w:rPr>
          <w:spacing w:val="-2"/>
          <w:w w:val="100"/>
        </w:rPr>
        <w:t>，鼓励其他医疗卫生机构参加。</w:t>
      </w:r>
    </w:p>
    <w:p>
      <w:pPr>
        <w:pStyle w:val="BodyText"/>
        <w:spacing w:before="190"/>
        <w:ind w:left="760"/>
      </w:pPr>
      <w:bookmarkStart w:name="_bookmark26" w:id="27"/>
      <w:bookmarkEnd w:id="27"/>
      <w:r>
        <w:rPr/>
      </w:r>
      <w:r>
        <w:rPr/>
        <w:t>五、合格的投标人</w:t>
      </w:r>
    </w:p>
    <w:p>
      <w:pPr>
        <w:pStyle w:val="BodyText"/>
        <w:spacing w:line="350" w:lineRule="auto" w:before="191"/>
        <w:ind w:right="270" w:firstLine="639"/>
      </w:pPr>
      <w:r>
        <w:rPr/>
        <w:t>（一）符合有关法律、法规关于投标企业的有关规定， 有能力提供耗材产品及服务的企业。</w:t>
      </w:r>
    </w:p>
    <w:p>
      <w:pPr>
        <w:pStyle w:val="BodyText"/>
        <w:spacing w:before="2"/>
        <w:ind w:left="760"/>
      </w:pPr>
      <w:r>
        <w:rPr/>
        <w:t>（二）其它条件</w:t>
      </w:r>
    </w:p>
    <w:p>
      <w:pPr>
        <w:pStyle w:val="BodyText"/>
        <w:spacing w:before="190"/>
        <w:ind w:left="760"/>
      </w:pPr>
      <w:r>
        <w:rPr/>
        <w:t>1.具有履行合同必须具备的耗材产品供应保障能力。</w:t>
      </w:r>
    </w:p>
    <w:p>
      <w:pPr>
        <w:pStyle w:val="BodyText"/>
        <w:spacing w:before="190"/>
        <w:ind w:left="760"/>
      </w:pPr>
      <w:r>
        <w:rPr/>
        <w:t>2.具有合法、可靠的耗材产品来源。</w:t>
      </w:r>
    </w:p>
    <w:p>
      <w:pPr>
        <w:pStyle w:val="BodyText"/>
        <w:spacing w:before="190"/>
        <w:ind w:left="760"/>
      </w:pPr>
      <w:r>
        <w:rPr/>
        <w:t>（三）投标费用</w:t>
      </w:r>
    </w:p>
    <w:p>
      <w:pPr>
        <w:pStyle w:val="BodyText"/>
        <w:spacing w:before="190"/>
        <w:ind w:left="760"/>
      </w:pPr>
      <w:r>
        <w:rPr/>
        <w:t>投标人自行承担所有与参加投标有关的全部费用。</w:t>
      </w:r>
    </w:p>
    <w:p>
      <w:pPr>
        <w:pStyle w:val="Heading2"/>
        <w:spacing w:before="266"/>
        <w:ind w:left="1821"/>
      </w:pPr>
      <w:r>
        <w:rPr>
          <w:rFonts w:ascii="Times New Roman" w:eastAsia="Times New Roman"/>
        </w:rPr>
        <w:t>C </w:t>
      </w:r>
      <w:r>
        <w:rPr/>
        <w:t>集中采购文件说明</w:t>
      </w:r>
    </w:p>
    <w:p>
      <w:pPr>
        <w:pStyle w:val="BodyText"/>
        <w:spacing w:before="324"/>
        <w:ind w:left="760"/>
      </w:pPr>
      <w:bookmarkStart w:name="_bookmark27" w:id="28"/>
      <w:bookmarkEnd w:id="28"/>
      <w:r>
        <w:rPr/>
      </w:r>
      <w:r>
        <w:rPr/>
        <w:t>六、集中采购文件的构成</w:t>
      </w:r>
    </w:p>
    <w:p>
      <w:pPr>
        <w:pStyle w:val="BodyText"/>
        <w:spacing w:before="190"/>
        <w:ind w:left="760"/>
      </w:pPr>
      <w:r>
        <w:rPr/>
        <w:t>（一）集中采购文件由下述部分组成</w:t>
      </w:r>
    </w:p>
    <w:p>
      <w:pPr>
        <w:pStyle w:val="BodyText"/>
        <w:spacing w:before="190"/>
        <w:ind w:left="760"/>
      </w:pPr>
      <w:r>
        <w:rPr/>
        <w:t>1.投标邀请函</w:t>
      </w:r>
    </w:p>
    <w:p>
      <w:pPr>
        <w:pStyle w:val="BodyText"/>
        <w:spacing w:before="190"/>
        <w:ind w:left="760"/>
      </w:pPr>
      <w:r>
        <w:rPr/>
        <w:t>2.采购内容</w:t>
      </w:r>
    </w:p>
    <w:p>
      <w:pPr>
        <w:pStyle w:val="BodyText"/>
        <w:spacing w:before="190"/>
        <w:ind w:left="760"/>
      </w:pPr>
      <w:r>
        <w:rPr/>
        <w:t>3.联合采购项目要求</w:t>
      </w:r>
    </w:p>
    <w:p>
      <w:pPr>
        <w:pStyle w:val="BodyText"/>
        <w:spacing w:before="190"/>
        <w:ind w:left="760"/>
      </w:pPr>
      <w:r>
        <w:rPr/>
        <w:t>4.采购程序</w:t>
      </w:r>
    </w:p>
    <w:p>
      <w:pPr>
        <w:pStyle w:val="BodyText"/>
        <w:spacing w:before="190"/>
        <w:ind w:left="760"/>
      </w:pPr>
      <w:r>
        <w:rPr/>
        <w:t>5.投标须知</w:t>
      </w:r>
    </w:p>
    <w:p>
      <w:pPr>
        <w:pStyle w:val="BodyText"/>
        <w:spacing w:before="190"/>
        <w:ind w:left="760"/>
      </w:pPr>
      <w:r>
        <w:rPr/>
        <w:t>（二）集中采购文件以中文编撰。</w:t>
      </w:r>
    </w:p>
    <w:p>
      <w:pPr>
        <w:pStyle w:val="BodyText"/>
        <w:spacing w:line="350" w:lineRule="auto" w:before="190"/>
        <w:ind w:right="437" w:firstLine="639"/>
        <w:jc w:val="both"/>
      </w:pPr>
      <w:r>
        <w:rPr>
          <w:spacing w:val="-1"/>
        </w:rPr>
        <w:t>（三</w:t>
      </w:r>
      <w:r>
        <w:rPr>
          <w:spacing w:val="-9"/>
        </w:rPr>
        <w:t>）</w:t>
      </w:r>
      <w:r>
        <w:rPr>
          <w:spacing w:val="-2"/>
        </w:rPr>
        <w:t>除非有特殊要求，集中采购文件不单独提供采购</w:t>
      </w:r>
      <w:r>
        <w:rPr>
          <w:spacing w:val="-4"/>
        </w:rPr>
        <w:t>项目使用地的自然环境、气候条件、公用设施等情况，投标人被视为熟悉上述与履行合同有关的一切情况。</w:t>
      </w:r>
    </w:p>
    <w:p>
      <w:pPr>
        <w:spacing w:after="0" w:line="350" w:lineRule="auto"/>
        <w:jc w:val="both"/>
        <w:sectPr>
          <w:pgSz w:w="11910" w:h="16840"/>
          <w:pgMar w:header="0" w:footer="1672" w:top="1560" w:bottom="1860" w:left="1680" w:right="1360"/>
        </w:sectPr>
      </w:pPr>
    </w:p>
    <w:p>
      <w:pPr>
        <w:pStyle w:val="BodyText"/>
        <w:spacing w:before="32"/>
        <w:ind w:left="760"/>
      </w:pPr>
      <w:bookmarkStart w:name="_bookmark28" w:id="29"/>
      <w:bookmarkEnd w:id="29"/>
      <w:r>
        <w:rPr/>
      </w:r>
      <w:r>
        <w:rPr/>
        <w:t>七、集中采购文件的修改</w:t>
      </w:r>
    </w:p>
    <w:p>
      <w:pPr>
        <w:pStyle w:val="BodyText"/>
        <w:spacing w:line="350" w:lineRule="auto" w:before="190"/>
        <w:ind w:right="270" w:firstLine="639"/>
      </w:pPr>
      <w:r>
        <w:rPr/>
        <w:t>（一）集中采购文件的修改将构成采购文件的一部分， 对投标人有约束力。</w:t>
      </w:r>
    </w:p>
    <w:p>
      <w:pPr>
        <w:pStyle w:val="BodyText"/>
        <w:spacing w:line="350" w:lineRule="auto" w:before="3"/>
        <w:ind w:right="436" w:firstLine="639"/>
        <w:jc w:val="both"/>
      </w:pPr>
      <w:r>
        <w:rPr>
          <w:spacing w:val="-1"/>
        </w:rPr>
        <w:t>（二</w:t>
      </w:r>
      <w:r>
        <w:rPr>
          <w:spacing w:val="-16"/>
        </w:rPr>
        <w:t>）</w:t>
      </w:r>
      <w:r>
        <w:rPr>
          <w:spacing w:val="-1"/>
        </w:rPr>
        <w:t>采购工作机构可依据公立医院或投标人要求澄清</w:t>
      </w:r>
      <w:r>
        <w:rPr>
          <w:spacing w:val="-3"/>
        </w:rPr>
        <w:t>的问题而修改采购文件，并以书面形式或在京津冀医用耗材</w:t>
      </w:r>
      <w:r>
        <w:rPr>
          <w:spacing w:val="-2"/>
        </w:rPr>
        <w:t>联合采购平台网站</w:t>
      </w:r>
      <w:r>
        <w:rPr>
          <w:spacing w:val="-1"/>
        </w:rPr>
        <w:t>（http://www.tjmpc.gov.cn:9004）</w:t>
      </w:r>
      <w:r>
        <w:rPr/>
        <w:t>上发</w:t>
      </w:r>
      <w:r>
        <w:rPr>
          <w:spacing w:val="-2"/>
        </w:rPr>
        <w:t>布相关信息通知已下载采购文件的投标人，并对其具有约束力。</w:t>
      </w:r>
    </w:p>
    <w:p>
      <w:pPr>
        <w:pStyle w:val="BodyText"/>
        <w:spacing w:before="7"/>
        <w:ind w:left="760"/>
      </w:pPr>
      <w:bookmarkStart w:name="_bookmark29" w:id="30"/>
      <w:bookmarkEnd w:id="30"/>
      <w:r>
        <w:rPr/>
      </w:r>
      <w:r>
        <w:rPr/>
        <w:t>八、集中采购文件的澄清</w:t>
      </w:r>
    </w:p>
    <w:p>
      <w:pPr>
        <w:pStyle w:val="BodyText"/>
        <w:spacing w:line="350" w:lineRule="auto" w:before="190"/>
        <w:ind w:right="436" w:firstLine="639"/>
        <w:jc w:val="both"/>
      </w:pPr>
      <w:r>
        <w:rPr>
          <w:spacing w:val="-3"/>
        </w:rPr>
        <w:t>投标人对采购文件有疑问，可要求澄清，请按投标邀请</w:t>
      </w:r>
      <w:r>
        <w:rPr>
          <w:spacing w:val="-2"/>
        </w:rPr>
        <w:t>函中载明的地址以书面形式</w:t>
      </w:r>
      <w:r>
        <w:rPr/>
        <w:t>（</w:t>
      </w:r>
      <w:r>
        <w:rPr>
          <w:spacing w:val="-2"/>
        </w:rPr>
        <w:t>包括信函、传真等</w:t>
      </w:r>
      <w:r>
        <w:rPr>
          <w:spacing w:val="-5"/>
        </w:rPr>
        <w:t>）</w:t>
      </w:r>
      <w:r>
        <w:rPr/>
        <w:t>通知到采</w:t>
      </w:r>
      <w:r>
        <w:rPr>
          <w:spacing w:val="-4"/>
        </w:rPr>
        <w:t>购工作机构。天津市卫生和计划生育委员会和采购工作机构</w:t>
      </w:r>
      <w:r>
        <w:rPr>
          <w:spacing w:val="-2"/>
        </w:rPr>
        <w:t>统一以文字形式在网站上解答，其作为集中采购文件的组成部分，与原文件具有同等效力。</w:t>
      </w:r>
    </w:p>
    <w:p>
      <w:pPr>
        <w:pStyle w:val="BodyText"/>
        <w:spacing w:before="8"/>
        <w:ind w:left="760"/>
      </w:pPr>
      <w:bookmarkStart w:name="_bookmark30" w:id="31"/>
      <w:bookmarkEnd w:id="31"/>
      <w:r>
        <w:rPr/>
      </w:r>
      <w:r>
        <w:rPr/>
        <w:t>九、注意事项</w:t>
      </w:r>
    </w:p>
    <w:p>
      <w:pPr>
        <w:pStyle w:val="BodyText"/>
        <w:spacing w:before="190"/>
        <w:ind w:left="760"/>
      </w:pPr>
      <w:r>
        <w:rPr/>
        <w:t>投标人应随时关注京津冀医用耗材联合采购平台网站</w:t>
      </w:r>
    </w:p>
    <w:p>
      <w:pPr>
        <w:pStyle w:val="BodyText"/>
        <w:spacing w:line="350" w:lineRule="auto" w:before="190"/>
        <w:ind w:right="440"/>
      </w:pPr>
      <w:r>
        <w:rPr>
          <w:spacing w:val="11"/>
          <w:w w:val="100"/>
        </w:rPr>
        <w:t>（</w:t>
      </w:r>
      <w:r>
        <w:rPr>
          <w:w w:val="100"/>
        </w:rPr>
        <w:t>htt</w:t>
      </w:r>
      <w:r>
        <w:rPr>
          <w:spacing w:val="-2"/>
          <w:w w:val="100"/>
        </w:rPr>
        <w:t>p</w:t>
      </w:r>
      <w:r>
        <w:rPr>
          <w:w w:val="100"/>
        </w:rPr>
        <w:t>:/</w:t>
      </w:r>
      <w:r>
        <w:rPr>
          <w:spacing w:val="-1"/>
          <w:w w:val="100"/>
        </w:rPr>
        <w:t>/</w:t>
      </w:r>
      <w:r>
        <w:rPr>
          <w:w w:val="100"/>
        </w:rPr>
        <w:t>www</w:t>
      </w:r>
      <w:r>
        <w:rPr>
          <w:spacing w:val="-2"/>
          <w:w w:val="100"/>
        </w:rPr>
        <w:t>.</w:t>
      </w:r>
      <w:r>
        <w:rPr>
          <w:w w:val="100"/>
        </w:rPr>
        <w:t>tjm</w:t>
      </w:r>
      <w:r>
        <w:rPr>
          <w:spacing w:val="-2"/>
          <w:w w:val="100"/>
        </w:rPr>
        <w:t>p</w:t>
      </w:r>
      <w:r>
        <w:rPr>
          <w:w w:val="100"/>
        </w:rPr>
        <w:t>c.g</w:t>
      </w:r>
      <w:r>
        <w:rPr>
          <w:spacing w:val="-2"/>
          <w:w w:val="100"/>
        </w:rPr>
        <w:t>o</w:t>
      </w:r>
      <w:r>
        <w:rPr>
          <w:w w:val="100"/>
        </w:rPr>
        <w:t>v.cn:</w:t>
      </w:r>
      <w:r>
        <w:rPr>
          <w:spacing w:val="-2"/>
          <w:w w:val="100"/>
        </w:rPr>
        <w:t>9</w:t>
      </w:r>
      <w:r>
        <w:rPr>
          <w:w w:val="100"/>
        </w:rPr>
        <w:t>00</w:t>
      </w:r>
      <w:r>
        <w:rPr>
          <w:spacing w:val="11"/>
          <w:w w:val="100"/>
        </w:rPr>
        <w:t>4</w:t>
      </w:r>
      <w:r>
        <w:rPr>
          <w:spacing w:val="-148"/>
          <w:w w:val="100"/>
        </w:rPr>
        <w:t>）</w:t>
      </w:r>
      <w:r>
        <w:rPr>
          <w:spacing w:val="8"/>
          <w:w w:val="100"/>
        </w:rPr>
        <w:t>，所有对采购文件的修</w:t>
      </w:r>
      <w:r>
        <w:rPr>
          <w:spacing w:val="8"/>
        </w:rPr>
        <w:t>改和澄清说明在网站上发布后，视为投标人知晓。</w:t>
      </w:r>
    </w:p>
    <w:p>
      <w:pPr>
        <w:pStyle w:val="BodyText"/>
        <w:spacing w:line="350" w:lineRule="auto" w:before="3"/>
        <w:ind w:right="420" w:firstLine="639"/>
      </w:pPr>
      <w:r>
        <w:rPr/>
        <w:t>所有项目信息均以京津冀医用耗材联合采购平台网站发布为准。</w:t>
      </w:r>
    </w:p>
    <w:p>
      <w:pPr>
        <w:spacing w:after="0" w:line="350" w:lineRule="auto"/>
        <w:sectPr>
          <w:pgSz w:w="11910" w:h="16840"/>
          <w:pgMar w:header="0" w:footer="1672" w:top="1560" w:bottom="1860" w:left="1680" w:right="1360"/>
        </w:sectPr>
      </w:pPr>
    </w:p>
    <w:p>
      <w:pPr>
        <w:pStyle w:val="Heading2"/>
        <w:ind w:left="2678" w:right="0"/>
        <w:jc w:val="left"/>
      </w:pPr>
      <w:r>
        <w:rPr>
          <w:rFonts w:ascii="Times New Roman" w:eastAsia="Times New Roman"/>
        </w:rPr>
        <w:t>D </w:t>
      </w:r>
      <w:r>
        <w:rPr/>
        <w:t>投标材料的填报</w:t>
      </w:r>
    </w:p>
    <w:p>
      <w:pPr>
        <w:pStyle w:val="BodyText"/>
        <w:spacing w:before="324"/>
        <w:ind w:left="760"/>
      </w:pPr>
      <w:bookmarkStart w:name="_bookmark31" w:id="32"/>
      <w:bookmarkEnd w:id="32"/>
      <w:r>
        <w:rPr/>
      </w:r>
      <w:r>
        <w:rPr/>
        <w:t>十、要求</w:t>
      </w:r>
    </w:p>
    <w:p>
      <w:pPr>
        <w:pStyle w:val="BodyText"/>
        <w:spacing w:line="350" w:lineRule="auto" w:before="190"/>
        <w:ind w:right="116" w:firstLine="639"/>
      </w:pPr>
      <w:r>
        <w:rPr/>
        <w:t>（一</w:t>
      </w:r>
      <w:r>
        <w:rPr>
          <w:spacing w:val="-9"/>
        </w:rPr>
        <w:t>）</w:t>
      </w:r>
      <w:r>
        <w:rPr>
          <w:spacing w:val="-1"/>
        </w:rPr>
        <w:t>投标人应仔细阅读采购文件的事项、条款和规范 </w:t>
      </w:r>
      <w:r>
        <w:rPr>
          <w:spacing w:val="-4"/>
        </w:rPr>
        <w:t>等要求，按采购文件的要求提供投标材料，并保证所提供的 </w:t>
      </w:r>
      <w:r>
        <w:rPr>
          <w:spacing w:val="-3"/>
        </w:rPr>
        <w:t>全部资料的真实性，以使其投标对采购文件做出实质性响应。</w:t>
      </w:r>
      <w:r>
        <w:rPr>
          <w:spacing w:val="-5"/>
        </w:rPr>
        <w:t>否则，其投标材料可能被拒绝，投标人须自行承担由此引起 的风险和责任。</w:t>
      </w:r>
    </w:p>
    <w:p>
      <w:pPr>
        <w:pStyle w:val="BodyText"/>
        <w:spacing w:line="350" w:lineRule="auto" w:before="7"/>
        <w:ind w:right="393" w:firstLine="639"/>
      </w:pPr>
      <w:r>
        <w:rPr/>
        <w:t>（二）投标人应在采购平台上认真填报，保证信息真实有效，并承担相应的法律责任。</w:t>
      </w:r>
    </w:p>
    <w:p>
      <w:pPr>
        <w:pStyle w:val="BodyText"/>
        <w:spacing w:before="3"/>
        <w:ind w:left="760"/>
      </w:pPr>
      <w:bookmarkStart w:name="_bookmark32" w:id="33"/>
      <w:bookmarkEnd w:id="33"/>
      <w:r>
        <w:rPr/>
      </w:r>
      <w:r>
        <w:rPr/>
        <w:t>十一、投标语言及计量单位</w:t>
      </w:r>
    </w:p>
    <w:p>
      <w:pPr>
        <w:pStyle w:val="BodyText"/>
        <w:spacing w:line="350" w:lineRule="auto" w:before="190"/>
        <w:ind w:right="282" w:firstLine="639"/>
        <w:jc w:val="both"/>
      </w:pPr>
      <w:r>
        <w:rPr/>
        <w:t>（一</w:t>
      </w:r>
      <w:r>
        <w:rPr>
          <w:spacing w:val="-16"/>
        </w:rPr>
        <w:t>）</w:t>
      </w:r>
      <w:r>
        <w:rPr/>
        <w:t>投标人和采购工作机构就投标交换的文件和来往</w:t>
      </w:r>
      <w:r>
        <w:rPr>
          <w:spacing w:val="-4"/>
        </w:rPr>
        <w:t>信件，应以中文书写，全部辅助材料及证明材料均应有中文</w:t>
      </w:r>
      <w:r>
        <w:rPr>
          <w:spacing w:val="-5"/>
        </w:rPr>
        <w:t>文本，并以中文文本为准。外文资料必须提供中文译文，并</w:t>
      </w:r>
      <w:r>
        <w:rPr>
          <w:spacing w:val="-7"/>
        </w:rPr>
        <w:t>保证与原文内容一致，否则投标人将承担相应法律责任。未</w:t>
      </w:r>
      <w:r>
        <w:rPr>
          <w:spacing w:val="0"/>
        </w:rPr>
        <w:t>按上述规定提供中文文本的，评审委员会有权拒绝其投标。</w:t>
      </w:r>
    </w:p>
    <w:p>
      <w:pPr>
        <w:pStyle w:val="BodyText"/>
        <w:spacing w:line="350" w:lineRule="auto" w:before="7"/>
        <w:ind w:right="423" w:firstLine="639"/>
        <w:jc w:val="both"/>
      </w:pPr>
      <w:r>
        <w:rPr/>
        <w:t>（二）除在采购文件中另有规定，应使用中华人民共和国法定计量单位和有关部门规定的耗材产品规格型号表示方法。</w:t>
      </w:r>
    </w:p>
    <w:p>
      <w:pPr>
        <w:pStyle w:val="BodyText"/>
        <w:spacing w:line="350" w:lineRule="auto" w:before="4"/>
        <w:ind w:right="393" w:firstLine="639"/>
      </w:pPr>
      <w:r>
        <w:rPr/>
        <w:t>（三）投标耗材的产品名称、规格型号必须按照医疗器械注册证填写，否则造成不利后果由投标人自负。</w:t>
      </w:r>
    </w:p>
    <w:p>
      <w:pPr>
        <w:spacing w:after="0" w:line="350" w:lineRule="auto"/>
        <w:sectPr>
          <w:pgSz w:w="11910" w:h="16840"/>
          <w:pgMar w:header="0" w:footer="1672" w:top="1480" w:bottom="1860" w:left="1680" w:right="1360"/>
        </w:sectPr>
      </w:pPr>
    </w:p>
    <w:p>
      <w:pPr>
        <w:pStyle w:val="BodyText"/>
        <w:spacing w:before="32"/>
        <w:ind w:left="760"/>
      </w:pPr>
      <w:bookmarkStart w:name="_bookmark33" w:id="34"/>
      <w:bookmarkEnd w:id="34"/>
      <w:r>
        <w:rPr/>
      </w:r>
      <w:r>
        <w:rPr/>
        <w:t>十二、投标报价</w:t>
      </w:r>
    </w:p>
    <w:p>
      <w:pPr>
        <w:pStyle w:val="BodyText"/>
        <w:spacing w:line="328" w:lineRule="auto" w:before="158"/>
        <w:ind w:right="437" w:firstLine="639"/>
        <w:jc w:val="both"/>
      </w:pPr>
      <w:r>
        <w:rPr>
          <w:spacing w:val="-3"/>
        </w:rPr>
        <w:t>生产企业使用数字证书登录采购平台，在不高于“京津冀历史采购最低价”的前提下，于规定时间内对每个已填报</w:t>
      </w:r>
      <w:r>
        <w:rPr>
          <w:spacing w:val="-2"/>
        </w:rPr>
        <w:t>且通过产品复审的品规进行报价</w:t>
      </w:r>
      <w:r>
        <w:rPr/>
        <w:t>（无京津冀历史采购价格的</w:t>
      </w:r>
      <w:r>
        <w:rPr>
          <w:spacing w:val="-8"/>
        </w:rPr>
        <w:t>品规，由企业自行合理报价</w:t>
      </w:r>
      <w:r>
        <w:rPr>
          <w:spacing w:val="-161"/>
        </w:rPr>
        <w:t>）</w:t>
      </w:r>
      <w:r>
        <w:rPr>
          <w:spacing w:val="-12"/>
        </w:rPr>
        <w:t>。在报价截止时间前，可以对报价进行修改，报价时间截止后，不能进行任何修改。</w:t>
      </w:r>
    </w:p>
    <w:p>
      <w:pPr>
        <w:pStyle w:val="BodyText"/>
        <w:spacing w:line="403" w:lineRule="exact"/>
        <w:ind w:left="760"/>
      </w:pPr>
      <w:r>
        <w:rPr/>
        <w:t>报价应符合以下要求：</w:t>
      </w:r>
    </w:p>
    <w:p>
      <w:pPr>
        <w:pStyle w:val="BodyText"/>
        <w:spacing w:line="350" w:lineRule="auto" w:before="181"/>
        <w:ind w:right="438" w:firstLine="639"/>
      </w:pPr>
      <w:r>
        <w:rPr>
          <w:spacing w:val="-1"/>
        </w:rPr>
        <w:t>1</w:t>
      </w:r>
      <w:r>
        <w:rPr>
          <w:spacing w:val="-20"/>
        </w:rPr>
        <w:t>.投标报价以人民币填报，单位为“元”，保留至小数点后两位。</w:t>
      </w:r>
    </w:p>
    <w:p>
      <w:pPr>
        <w:pStyle w:val="BodyText"/>
        <w:spacing w:line="350" w:lineRule="auto" w:before="3"/>
        <w:ind w:right="437" w:firstLine="639"/>
        <w:jc w:val="both"/>
      </w:pPr>
      <w:r>
        <w:rPr>
          <w:spacing w:val="-1"/>
        </w:rPr>
        <w:t>2</w:t>
      </w:r>
      <w:r>
        <w:rPr>
          <w:spacing w:val="-2"/>
        </w:rPr>
        <w:t>.报价应为公立医院实际购入价格。同厂家同产品名称</w:t>
      </w:r>
      <w:r>
        <w:rPr>
          <w:spacing w:val="-3"/>
        </w:rPr>
        <w:t>不同规格型号的耗材产品之间，不得出现投标报价倒挂。如有倒挂将由专家作调平处理。</w:t>
      </w:r>
    </w:p>
    <w:p>
      <w:pPr>
        <w:pStyle w:val="BodyText"/>
        <w:spacing w:line="350" w:lineRule="auto" w:before="5"/>
        <w:ind w:right="394" w:firstLine="639"/>
      </w:pPr>
      <w:r>
        <w:rPr/>
        <w:t>3.每条耗材产品只允许有一个报价，任何有选择的报价将不予接受。</w:t>
      </w:r>
    </w:p>
    <w:p>
      <w:pPr>
        <w:pStyle w:val="BodyText"/>
        <w:spacing w:line="350" w:lineRule="auto" w:before="3"/>
        <w:ind w:right="270" w:firstLine="639"/>
      </w:pPr>
      <w:r>
        <w:rPr/>
        <w:t>4.报价时，企业须以招标系统产品信息中“报价单位” 字段下显示的单位进行报价。</w:t>
      </w:r>
    </w:p>
    <w:p>
      <w:pPr>
        <w:pStyle w:val="BodyText"/>
        <w:spacing w:line="350" w:lineRule="auto" w:before="2"/>
        <w:ind w:right="394" w:firstLine="639"/>
      </w:pPr>
      <w:r>
        <w:rPr/>
        <w:t>5.规定时间内未报价或报错价的，报价结束后不得补报或修改，由此引起的一切后果由企业自行负责。</w:t>
      </w:r>
    </w:p>
    <w:p>
      <w:pPr>
        <w:pStyle w:val="BodyText"/>
        <w:spacing w:line="350" w:lineRule="auto" w:before="3"/>
        <w:ind w:right="394" w:firstLine="639"/>
      </w:pPr>
      <w:r>
        <w:rPr/>
        <w:t>6.在采购周期内如遇有政策性价格调整，依据相关文件执行。</w:t>
      </w:r>
    </w:p>
    <w:p>
      <w:pPr>
        <w:pStyle w:val="BodyText"/>
        <w:spacing w:before="3"/>
        <w:ind w:left="760"/>
      </w:pPr>
      <w:bookmarkStart w:name="_bookmark34" w:id="35"/>
      <w:bookmarkEnd w:id="35"/>
      <w:r>
        <w:rPr/>
      </w:r>
      <w:r>
        <w:rPr/>
        <w:t>十三、投标货币</w:t>
      </w:r>
    </w:p>
    <w:p>
      <w:pPr>
        <w:pStyle w:val="BodyText"/>
        <w:spacing w:before="190"/>
        <w:ind w:left="760"/>
      </w:pPr>
      <w:r>
        <w:rPr/>
        <w:t>填报信息中的报价，若无特殊说明应采用人民币填报。</w:t>
      </w:r>
    </w:p>
    <w:p>
      <w:pPr>
        <w:spacing w:after="0"/>
        <w:sectPr>
          <w:pgSz w:w="11910" w:h="16840"/>
          <w:pgMar w:header="0" w:footer="1672" w:top="1560" w:bottom="1860" w:left="1680" w:right="1360"/>
        </w:sectPr>
      </w:pPr>
    </w:p>
    <w:p>
      <w:pPr>
        <w:pStyle w:val="BodyText"/>
        <w:spacing w:before="32"/>
        <w:ind w:left="760"/>
      </w:pPr>
      <w:bookmarkStart w:name="_bookmark35" w:id="36"/>
      <w:bookmarkEnd w:id="36"/>
      <w:r>
        <w:rPr/>
      </w:r>
      <w:r>
        <w:rPr/>
        <w:t>十四、投标审查</w:t>
      </w:r>
    </w:p>
    <w:p>
      <w:pPr>
        <w:pStyle w:val="BodyText"/>
        <w:spacing w:line="350" w:lineRule="auto" w:before="190"/>
        <w:ind w:right="436" w:firstLine="639"/>
        <w:jc w:val="both"/>
      </w:pPr>
      <w:r>
        <w:rPr>
          <w:spacing w:val="10"/>
        </w:rPr>
        <w:t>采购工作机构对投标人所提供的证明文件仅负形式审</w:t>
      </w:r>
      <w:r>
        <w:rPr>
          <w:spacing w:val="-4"/>
        </w:rPr>
        <w:t>查责任。即使投标人提交的资质证明文件通过了审查，在评</w:t>
      </w:r>
      <w:r>
        <w:rPr>
          <w:spacing w:val="-3"/>
        </w:rPr>
        <w:t>审过程中乃至定标后，如发现投标人所提供的证明文件不合</w:t>
      </w:r>
      <w:r>
        <w:rPr>
          <w:spacing w:val="-4"/>
        </w:rPr>
        <w:t>法或不真实，京津冀医用耗材联合采购工作小组仍可追究投标人的责任。</w:t>
      </w:r>
    </w:p>
    <w:p>
      <w:pPr>
        <w:pStyle w:val="BodyText"/>
        <w:spacing w:before="8"/>
        <w:ind w:left="760"/>
      </w:pPr>
      <w:bookmarkStart w:name="_bookmark36" w:id="37"/>
      <w:bookmarkEnd w:id="37"/>
      <w:r>
        <w:rPr/>
      </w:r>
      <w:r>
        <w:rPr/>
        <w:t>十五、投标材料的修改和撤消</w:t>
      </w:r>
    </w:p>
    <w:p>
      <w:pPr>
        <w:pStyle w:val="BodyText"/>
        <w:spacing w:line="350" w:lineRule="auto" w:before="190"/>
        <w:ind w:right="442" w:firstLine="639"/>
      </w:pPr>
      <w:r>
        <w:rPr/>
        <w:t>投标人在递交投标材料后可对其投标材料进行修改或撤回，但采购工作机构须收到该修改或撤消的书面通知。</w:t>
      </w:r>
    </w:p>
    <w:p>
      <w:pPr>
        <w:pStyle w:val="BodyText"/>
        <w:spacing w:before="2"/>
        <w:ind w:left="760"/>
      </w:pPr>
      <w:bookmarkStart w:name="_bookmark37" w:id="38"/>
      <w:bookmarkEnd w:id="38"/>
      <w:r>
        <w:rPr/>
      </w:r>
      <w:r>
        <w:rPr/>
        <w:t>十六、价格谈判专家组</w:t>
      </w:r>
    </w:p>
    <w:p>
      <w:pPr>
        <w:pStyle w:val="BodyText"/>
        <w:spacing w:line="350" w:lineRule="auto" w:before="190"/>
        <w:ind w:right="393" w:firstLine="639"/>
      </w:pPr>
      <w:r>
        <w:rPr/>
        <w:t>（一）价格谈判专家组成员由临床、管理和采购等方面的专家和医疗机构代表组成。</w:t>
      </w:r>
    </w:p>
    <w:p>
      <w:pPr>
        <w:pStyle w:val="BodyText"/>
        <w:spacing w:line="350" w:lineRule="auto" w:before="4"/>
        <w:ind w:right="73" w:firstLine="639"/>
      </w:pPr>
      <w:r>
        <w:rPr/>
        <w:t>（二）如果出现投标人的报价医疗机构不能支付的情况， 或影响采购公正的违法违规行为，评审委员会有权宣布废标。</w:t>
      </w:r>
    </w:p>
    <w:p>
      <w:pPr>
        <w:pStyle w:val="BodyText"/>
        <w:spacing w:line="350" w:lineRule="auto" w:before="2"/>
        <w:ind w:right="393" w:firstLine="639"/>
      </w:pPr>
      <w:r>
        <w:rPr/>
        <w:t>（三）价格谈判专家组负责完成全部评标过程，向采购工作机构提出经价格谈判专家组签字的书面评标报告。</w:t>
      </w:r>
    </w:p>
    <w:p>
      <w:pPr>
        <w:pStyle w:val="BodyText"/>
        <w:spacing w:before="3"/>
        <w:ind w:left="760"/>
      </w:pPr>
      <w:r>
        <w:rPr/>
        <w:t>（四）采购工作机构授权价格谈判专家组确定谈判价格。</w:t>
      </w:r>
    </w:p>
    <w:p>
      <w:pPr>
        <w:pStyle w:val="BodyText"/>
        <w:spacing w:before="190"/>
        <w:ind w:left="760"/>
      </w:pPr>
      <w:bookmarkStart w:name="_bookmark38" w:id="39"/>
      <w:bookmarkEnd w:id="39"/>
      <w:r>
        <w:rPr/>
      </w:r>
      <w:r>
        <w:rPr/>
        <w:t>十七、保密及其他注意事项</w:t>
      </w:r>
    </w:p>
    <w:p>
      <w:pPr>
        <w:pStyle w:val="BodyText"/>
        <w:spacing w:line="350" w:lineRule="auto" w:before="190"/>
        <w:ind w:right="436" w:firstLine="639"/>
        <w:jc w:val="both"/>
      </w:pPr>
      <w:r>
        <w:rPr/>
        <w:t>（一</w:t>
      </w:r>
      <w:r>
        <w:rPr>
          <w:spacing w:val="-7"/>
        </w:rPr>
        <w:t>）</w:t>
      </w:r>
      <w:r>
        <w:rPr>
          <w:spacing w:val="-3"/>
        </w:rPr>
        <w:t>在开标、投标期间，投标人不得向采购工作机构成员询问评标情况，不得进行旨在影响评标结果的活动，否则将会导致其投标被拒绝。</w:t>
      </w:r>
    </w:p>
    <w:p>
      <w:pPr>
        <w:spacing w:after="0" w:line="350" w:lineRule="auto"/>
        <w:jc w:val="both"/>
        <w:sectPr>
          <w:pgSz w:w="11910" w:h="16840"/>
          <w:pgMar w:header="0" w:footer="1672" w:top="1560" w:bottom="1860" w:left="1680" w:right="1360"/>
        </w:sectPr>
      </w:pPr>
    </w:p>
    <w:p>
      <w:pPr>
        <w:pStyle w:val="BodyText"/>
        <w:spacing w:line="350" w:lineRule="auto" w:before="32"/>
        <w:ind w:right="438" w:firstLine="639"/>
        <w:jc w:val="both"/>
      </w:pPr>
      <w:r>
        <w:rPr>
          <w:spacing w:val="-1"/>
        </w:rPr>
        <w:t>（二</w:t>
      </w:r>
      <w:r>
        <w:rPr>
          <w:spacing w:val="-7"/>
        </w:rPr>
        <w:t>）</w:t>
      </w:r>
      <w:r>
        <w:rPr>
          <w:spacing w:val="-3"/>
        </w:rPr>
        <w:t>在开标、投标期间，投标人如试图向采购工作机构施加任何影响，都将会导致其投标被拒绝。</w:t>
      </w:r>
    </w:p>
    <w:p>
      <w:pPr>
        <w:pStyle w:val="BodyText"/>
        <w:spacing w:line="350" w:lineRule="auto" w:before="3"/>
        <w:ind w:right="436" w:firstLine="639"/>
        <w:jc w:val="both"/>
      </w:pPr>
      <w:r>
        <w:rPr>
          <w:spacing w:val="-1"/>
        </w:rPr>
        <w:t>（三</w:t>
      </w:r>
      <w:r>
        <w:rPr>
          <w:spacing w:val="-9"/>
        </w:rPr>
        <w:t>）</w:t>
      </w:r>
      <w:r>
        <w:rPr>
          <w:spacing w:val="-2"/>
        </w:rPr>
        <w:t>为保证定标的公正性，采购工作机构成员不得与</w:t>
      </w:r>
      <w:r>
        <w:rPr>
          <w:spacing w:val="-3"/>
        </w:rPr>
        <w:t>投标人私下交换意见。在联合采购工作结束后，凡与议价成交情况有接触的任何人不得也不应将审查、澄清、评价和比</w:t>
      </w:r>
      <w:r>
        <w:rPr>
          <w:spacing w:val="8"/>
        </w:rPr>
        <w:t>较投标的有关资料以及授标建议等情况向投标人或其它无关的人员透露。</w:t>
      </w:r>
    </w:p>
    <w:p>
      <w:pPr>
        <w:pStyle w:val="BodyText"/>
        <w:spacing w:line="350" w:lineRule="auto" w:before="7"/>
        <w:ind w:right="437" w:firstLine="639"/>
        <w:jc w:val="both"/>
      </w:pPr>
      <w:r>
        <w:rPr>
          <w:spacing w:val="-1"/>
        </w:rPr>
        <w:t>（四</w:t>
      </w:r>
      <w:r>
        <w:rPr>
          <w:spacing w:val="-9"/>
        </w:rPr>
        <w:t>）</w:t>
      </w:r>
      <w:r>
        <w:rPr>
          <w:spacing w:val="-1"/>
        </w:rPr>
        <w:t>不保证所有标的一定有中标结果，如出现采购后</w:t>
      </w:r>
      <w:r>
        <w:rPr>
          <w:spacing w:val="-2"/>
        </w:rPr>
        <w:t>没有投标人或者经审查没有合格投标人的标的，将会出现该标的废标的可能。</w:t>
      </w:r>
    </w:p>
    <w:sectPr>
      <w:pgSz w:w="11910" w:h="16840"/>
      <w:pgMar w:header="0" w:footer="1672" w:top="1560" w:bottom="186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SimSun">
    <w:altName w:val="SimSun"/>
    <w:charset w:val="0"/>
    <w:family w:val="auto"/>
    <w:pitch w:val="variable"/>
  </w:font>
  <w:font w:name="Microsoft JhengHei">
    <w:altName w:val="Microsoft JhengHei"/>
    <w:charset w:val="0"/>
    <w:family w:val="swiss"/>
    <w:pitch w:val="variable"/>
  </w:font>
  <w:font w:name="Gill Sans MT">
    <w:altName w:val="Gill Sans 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3.420013pt;margin-top:747.339966pt;width:6.5pt;height:12pt;mso-position-horizontal-relative:page;mso-position-vertical-relative:page;z-index:-15544"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3.420013pt;margin-top:747.339966pt;width:6.5pt;height:12pt;mso-position-horizontal-relative:page;mso-position-vertical-relative:page;z-index:-15520" type="#_x0000_t202" filled="false" stroked="false">
          <v:textbox inset="0,0,0,0">
            <w:txbxContent>
              <w:p>
                <w:pPr>
                  <w:spacing w:before="12"/>
                  <w:ind w:left="20" w:right="0" w:firstLine="0"/>
                  <w:jc w:val="left"/>
                  <w:rPr>
                    <w:rFonts w:ascii="Times New Roman"/>
                    <w:sz w:val="18"/>
                  </w:rPr>
                </w:pPr>
                <w:r>
                  <w:rPr>
                    <w:rFonts w:ascii="Times New Roman"/>
                    <w:sz w:val="18"/>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0.200012pt;margin-top:747.339966pt;width:13pt;height:12pt;mso-position-horizontal-relative:page;mso-position-vertical-relative:page;z-index:-15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0.200012pt;margin-top:747.339966pt;width:13pt;height:12pt;mso-position-horizontal-relative:page;mso-position-vertical-relative:page;z-index:-154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TOC1" w:type="paragraph">
    <w:name w:val="TOC 1"/>
    <w:basedOn w:val="Normal"/>
    <w:uiPriority w:val="1"/>
    <w:qFormat/>
    <w:pPr>
      <w:spacing w:before="406"/>
      <w:ind w:left="522"/>
    </w:pPr>
    <w:rPr>
      <w:rFonts w:ascii="Microsoft JhengHei" w:hAnsi="Microsoft JhengHei" w:eastAsia="Microsoft JhengHei" w:cs="Microsoft JhengHei"/>
      <w:b/>
      <w:bCs/>
      <w:sz w:val="20"/>
      <w:szCs w:val="20"/>
      <w:lang w:val="zh-cn" w:eastAsia="zh-cn" w:bidi="zh-cn"/>
    </w:rPr>
  </w:style>
  <w:style w:styleId="TOC2" w:type="paragraph">
    <w:name w:val="TOC 2"/>
    <w:basedOn w:val="Normal"/>
    <w:uiPriority w:val="1"/>
    <w:qFormat/>
    <w:pPr>
      <w:spacing w:before="124"/>
      <w:ind w:left="800"/>
    </w:pPr>
    <w:rPr>
      <w:rFonts w:ascii="SimSun" w:hAnsi="SimSun" w:eastAsia="SimSun" w:cs="SimSun"/>
      <w:sz w:val="20"/>
      <w:szCs w:val="20"/>
      <w:lang w:val="zh-cn" w:eastAsia="zh-cn" w:bidi="zh-cn"/>
    </w:rPr>
  </w:style>
  <w:style w:styleId="BodyText" w:type="paragraph">
    <w:name w:val="Body Text"/>
    <w:basedOn w:val="Normal"/>
    <w:uiPriority w:val="1"/>
    <w:qFormat/>
    <w:pPr>
      <w:ind w:left="120"/>
    </w:pPr>
    <w:rPr>
      <w:rFonts w:ascii="SimSun" w:hAnsi="SimSun" w:eastAsia="SimSun" w:cs="SimSun"/>
      <w:sz w:val="32"/>
      <w:szCs w:val="32"/>
      <w:lang w:val="zh-cn" w:eastAsia="zh-cn" w:bidi="zh-cn"/>
    </w:rPr>
  </w:style>
  <w:style w:styleId="Heading1" w:type="paragraph">
    <w:name w:val="Heading 1"/>
    <w:basedOn w:val="Normal"/>
    <w:uiPriority w:val="1"/>
    <w:qFormat/>
    <w:pPr>
      <w:spacing w:before="31"/>
      <w:ind w:left="2623"/>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spacing w:before="32"/>
      <w:ind w:left="1820" w:right="2139"/>
      <w:jc w:val="center"/>
      <w:outlineLvl w:val="2"/>
    </w:pPr>
    <w:rPr>
      <w:rFonts w:ascii="SimSun" w:hAnsi="SimSun" w:eastAsia="SimSun" w:cs="SimSun"/>
      <w:sz w:val="40"/>
      <w:szCs w:val="40"/>
      <w:lang w:val="zh-cn" w:eastAsia="zh-cn" w:bidi="zh-cn"/>
    </w:rPr>
  </w:style>
  <w:style w:styleId="Heading3" w:type="paragraph">
    <w:name w:val="Heading 3"/>
    <w:basedOn w:val="Normal"/>
    <w:uiPriority w:val="1"/>
    <w:qFormat/>
    <w:pPr>
      <w:spacing w:line="478" w:lineRule="exact"/>
      <w:ind w:left="763"/>
      <w:outlineLvl w:val="3"/>
    </w:pPr>
    <w:rPr>
      <w:rFonts w:ascii="Microsoft JhengHei" w:hAnsi="Microsoft JhengHei" w:eastAsia="Microsoft JhengHei" w:cs="Microsoft JhengHei"/>
      <w:b/>
      <w:bCs/>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mailto:tjmpc@tjmpc.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冯旭</dc:creator>
  <dcterms:created xsi:type="dcterms:W3CDTF">2017-11-24T07:48:57Z</dcterms:created>
  <dcterms:modified xsi:type="dcterms:W3CDTF">2017-11-24T07:48:57Z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2016</vt:lpwstr>
  </property>
  <property fmtid="{D5CDD505-2E9C-101B-9397-08002B2CF9AE}" pid="4" name="LastSaved">
    <vt:filetime>2017-11-24T00:00:00Z</vt:filetime>
  </property>
</Properties>
</file>