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bookmarkStart w:id="11" w:name="_GoBack"/>
      <w:bookmarkEnd w:id="11"/>
    </w:p>
    <w:p>
      <w:pPr>
        <w:spacing w:line="360" w:lineRule="auto"/>
        <w:jc w:val="center"/>
        <w:rPr>
          <w:rFonts w:ascii="宋体" w:hAnsi="宋体"/>
          <w:b/>
          <w:kern w:val="0"/>
          <w:sz w:val="36"/>
        </w:rPr>
      </w:pPr>
    </w:p>
    <w:p>
      <w:pPr>
        <w:spacing w:line="360" w:lineRule="auto"/>
        <w:jc w:val="center"/>
        <w:rPr>
          <w:rFonts w:ascii="黑体" w:eastAsia="黑体"/>
          <w:b/>
          <w:sz w:val="56"/>
          <w:szCs w:val="48"/>
        </w:rPr>
      </w:pPr>
      <w:r>
        <w:rPr>
          <w:rFonts w:hint="eastAsia" w:ascii="宋体" w:hAnsi="宋体" w:eastAsia="黑体"/>
          <w:b/>
          <w:kern w:val="0"/>
          <w:sz w:val="44"/>
        </w:rPr>
        <w:t>上海市医药采购服务与监管信息系统</w:t>
      </w:r>
    </w:p>
    <w:p>
      <w:pPr>
        <w:spacing w:beforeLines="50" w:line="360" w:lineRule="auto"/>
        <w:ind w:firstLine="803" w:firstLineChars="20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0"/>
        </w:rPr>
        <w:t>用户使用手册（医院分册）</w:t>
      </w:r>
    </w:p>
    <w:p>
      <w:pPr>
        <w:spacing w:line="360" w:lineRule="auto"/>
        <w:jc w:val="center"/>
        <w:rPr>
          <w:rFonts w:ascii="宋体"/>
          <w:b/>
          <w:sz w:val="32"/>
        </w:rPr>
      </w:pPr>
    </w:p>
    <w:p>
      <w:pPr>
        <w:spacing w:line="360" w:lineRule="auto"/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第一版</w:t>
      </w:r>
    </w:p>
    <w:p>
      <w:pPr>
        <w:widowControl/>
        <w:jc w:val="left"/>
        <w:rPr>
          <w:rFonts w:ascii="宋体"/>
          <w:b/>
          <w:sz w:val="32"/>
        </w:rPr>
      </w:pPr>
      <w:r>
        <w:rPr>
          <w:rFonts w:ascii="宋体"/>
          <w:b/>
          <w:sz w:val="32"/>
        </w:rPr>
        <w:br w:type="page"/>
      </w:r>
    </w:p>
    <w:p>
      <w:pPr>
        <w:pStyle w:val="17"/>
        <w:spacing w:line="360" w:lineRule="auto"/>
      </w:pPr>
      <w:r>
        <w:rPr>
          <w:rFonts w:hint="eastAsia"/>
          <w:lang w:val="zh-CN"/>
        </w:rPr>
        <w:t>目录</w:t>
      </w:r>
    </w:p>
    <w:p>
      <w:pPr>
        <w:pStyle w:val="9"/>
        <w:tabs>
          <w:tab w:val="left" w:pos="420"/>
          <w:tab w:val="right" w:leader="dot" w:pos="8296"/>
        </w:tabs>
        <w:spacing w:line="360" w:lineRule="auto"/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"_Toc16090945" </w:instrText>
      </w:r>
      <w:r>
        <w:fldChar w:fldCharType="separate"/>
      </w:r>
      <w:r>
        <w:rPr>
          <w:rStyle w:val="13"/>
        </w:rPr>
        <w:t>1.</w:t>
      </w:r>
      <w:r>
        <w:rPr>
          <w:rFonts w:asciiTheme="minorHAnsi" w:hAnsiTheme="minorHAnsi" w:eastAsiaTheme="minorEastAsia" w:cstheme="minorBidi"/>
        </w:rPr>
        <w:tab/>
      </w:r>
      <w:r>
        <w:rPr>
          <w:rStyle w:val="13"/>
          <w:rFonts w:hint="eastAsia"/>
        </w:rPr>
        <w:t>登陆界面</w:t>
      </w:r>
      <w:r>
        <w:tab/>
      </w:r>
      <w:r>
        <w:fldChar w:fldCharType="begin"/>
      </w:r>
      <w:r>
        <w:instrText xml:space="preserve"> PAGEREF _Toc16090945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left" w:pos="420"/>
          <w:tab w:val="right" w:leader="dot" w:pos="8296"/>
        </w:tabs>
        <w:spacing w:line="360" w:lineRule="auto"/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"_Toc16090946" </w:instrText>
      </w:r>
      <w:r>
        <w:fldChar w:fldCharType="separate"/>
      </w:r>
      <w:r>
        <w:rPr>
          <w:rStyle w:val="13"/>
        </w:rPr>
        <w:t>2.</w:t>
      </w:r>
      <w:r>
        <w:rPr>
          <w:rFonts w:asciiTheme="minorHAnsi" w:hAnsiTheme="minorHAnsi" w:eastAsiaTheme="minorEastAsia" w:cstheme="minorBidi"/>
        </w:rPr>
        <w:tab/>
      </w:r>
      <w:r>
        <w:rPr>
          <w:rStyle w:val="13"/>
          <w:rFonts w:hint="eastAsia"/>
        </w:rPr>
        <w:t>议价异常情况预警</w:t>
      </w:r>
      <w:r>
        <w:tab/>
      </w:r>
      <w:r>
        <w:fldChar w:fldCharType="begin"/>
      </w:r>
      <w:r>
        <w:instrText xml:space="preserve"> PAGEREF _Toc16090946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left" w:pos="1050"/>
          <w:tab w:val="right" w:leader="dot" w:pos="8296"/>
        </w:tabs>
        <w:spacing w:line="360" w:lineRule="auto"/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"_Toc16090947" </w:instrText>
      </w:r>
      <w:r>
        <w:fldChar w:fldCharType="separate"/>
      </w:r>
      <w:r>
        <w:rPr>
          <w:rStyle w:val="13"/>
        </w:rPr>
        <w:t>2.1.</w:t>
      </w:r>
      <w:r>
        <w:rPr>
          <w:rFonts w:asciiTheme="minorHAnsi" w:hAnsiTheme="minorHAnsi" w:eastAsiaTheme="minorEastAsia" w:cstheme="minorBidi"/>
        </w:rPr>
        <w:tab/>
      </w:r>
      <w:r>
        <w:rPr>
          <w:rStyle w:val="13"/>
          <w:rFonts w:hint="eastAsia"/>
        </w:rPr>
        <w:t>议价高于承诺价</w:t>
      </w:r>
      <w:r>
        <w:tab/>
      </w:r>
      <w:r>
        <w:fldChar w:fldCharType="begin"/>
      </w:r>
      <w:r>
        <w:instrText xml:space="preserve"> PAGEREF _Toc16090947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left" w:pos="1050"/>
          <w:tab w:val="right" w:leader="dot" w:pos="8296"/>
        </w:tabs>
        <w:spacing w:line="360" w:lineRule="auto"/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"_Toc16090948" </w:instrText>
      </w:r>
      <w:r>
        <w:fldChar w:fldCharType="separate"/>
      </w:r>
      <w:r>
        <w:rPr>
          <w:rStyle w:val="13"/>
        </w:rPr>
        <w:t>2.2.</w:t>
      </w:r>
      <w:r>
        <w:rPr>
          <w:rFonts w:asciiTheme="minorHAnsi" w:hAnsiTheme="minorHAnsi" w:eastAsiaTheme="minorEastAsia" w:cstheme="minorBidi"/>
        </w:rPr>
        <w:tab/>
      </w:r>
      <w:r>
        <w:rPr>
          <w:rStyle w:val="13"/>
          <w:rFonts w:hint="eastAsia"/>
        </w:rPr>
        <w:t>发票价高于议价</w:t>
      </w:r>
      <w:r>
        <w:tab/>
      </w:r>
      <w:r>
        <w:fldChar w:fldCharType="begin"/>
      </w:r>
      <w:r>
        <w:instrText xml:space="preserve"> PAGEREF _Toc16090948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left" w:pos="1050"/>
          <w:tab w:val="right" w:leader="dot" w:pos="8296"/>
        </w:tabs>
        <w:spacing w:line="360" w:lineRule="auto"/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"_Toc16090949" </w:instrText>
      </w:r>
      <w:r>
        <w:fldChar w:fldCharType="separate"/>
      </w:r>
      <w:r>
        <w:rPr>
          <w:rStyle w:val="13"/>
        </w:rPr>
        <w:t>2.3.</w:t>
      </w:r>
      <w:r>
        <w:rPr>
          <w:rFonts w:asciiTheme="minorHAnsi" w:hAnsiTheme="minorHAnsi" w:eastAsiaTheme="minorEastAsia" w:cstheme="minorBidi"/>
        </w:rPr>
        <w:tab/>
      </w:r>
      <w:r>
        <w:rPr>
          <w:rStyle w:val="13"/>
          <w:rFonts w:hint="eastAsia"/>
        </w:rPr>
        <w:t>无授权采购</w:t>
      </w:r>
      <w:r>
        <w:tab/>
      </w:r>
      <w:r>
        <w:fldChar w:fldCharType="begin"/>
      </w:r>
      <w:r>
        <w:instrText xml:space="preserve"> PAGEREF _Toc16090949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0"/>
        <w:tabs>
          <w:tab w:val="left" w:pos="1050"/>
          <w:tab w:val="right" w:leader="dot" w:pos="8296"/>
        </w:tabs>
        <w:spacing w:line="360" w:lineRule="auto"/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"_Toc16090950" </w:instrText>
      </w:r>
      <w:r>
        <w:fldChar w:fldCharType="separate"/>
      </w:r>
      <w:r>
        <w:rPr>
          <w:rStyle w:val="13"/>
        </w:rPr>
        <w:t>2.4.</w:t>
      </w:r>
      <w:r>
        <w:rPr>
          <w:rFonts w:asciiTheme="minorHAnsi" w:hAnsiTheme="minorHAnsi" w:eastAsiaTheme="minorEastAsia" w:cstheme="minorBidi"/>
        </w:rPr>
        <w:tab/>
      </w:r>
      <w:r>
        <w:rPr>
          <w:rStyle w:val="13"/>
          <w:rFonts w:hint="eastAsia"/>
        </w:rPr>
        <w:t>问询函查询</w:t>
      </w:r>
      <w:r>
        <w:tab/>
      </w:r>
      <w:r>
        <w:fldChar w:fldCharType="begin"/>
      </w:r>
      <w:r>
        <w:instrText xml:space="preserve"> PAGEREF _Toc16090950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360" w:lineRule="auto"/>
      </w:pPr>
      <w:r>
        <w:rPr>
          <w:b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宋体"/>
          <w:b/>
          <w:sz w:val="32"/>
        </w:rPr>
      </w:pPr>
    </w:p>
    <w:p>
      <w:pPr>
        <w:widowControl/>
        <w:jc w:val="left"/>
        <w:rPr>
          <w:rFonts w:ascii="宋体"/>
          <w:b/>
          <w:sz w:val="32"/>
        </w:rPr>
      </w:pPr>
      <w:r>
        <w:rPr>
          <w:rFonts w:ascii="宋体"/>
          <w:b/>
          <w:sz w:val="32"/>
        </w:rPr>
        <w:br w:type="page"/>
      </w:r>
    </w:p>
    <w:p>
      <w:pPr>
        <w:pStyle w:val="2"/>
        <w:numPr>
          <w:ilvl w:val="0"/>
          <w:numId w:val="1"/>
        </w:numPr>
        <w:spacing w:line="360" w:lineRule="auto"/>
      </w:pPr>
      <w:bookmarkStart w:id="0" w:name="_Toc272827993"/>
      <w:bookmarkStart w:id="1" w:name="_Toc197670822"/>
      <w:bookmarkStart w:id="2" w:name="_Toc125883782"/>
      <w:bookmarkStart w:id="3" w:name="_Toc215650786"/>
      <w:bookmarkStart w:id="4" w:name="_Toc197670211"/>
      <w:bookmarkStart w:id="5" w:name="_Toc16090945"/>
      <w:r>
        <w:rPr>
          <w:rFonts w:hint="eastAsia"/>
        </w:rPr>
        <w:t>登陆界面</w:t>
      </w:r>
      <w:bookmarkEnd w:id="0"/>
      <w:bookmarkEnd w:id="1"/>
      <w:bookmarkEnd w:id="2"/>
      <w:bookmarkEnd w:id="3"/>
      <w:bookmarkEnd w:id="4"/>
      <w:bookmarkEnd w:id="5"/>
    </w:p>
    <w:p>
      <w:pPr>
        <w:pStyle w:val="18"/>
        <w:keepNext/>
        <w:jc w:val="center"/>
      </w:pPr>
      <w:r>
        <w:drawing>
          <wp:inline distT="0" distB="0" distL="0" distR="0">
            <wp:extent cx="5274310" cy="2278380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 xml:space="preserve">图1-1-1：用户登陆页面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图1-1-1：用户登陆页面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jc w:val="center"/>
        <w:rPr>
          <w:rFonts w:cs="宋体"/>
          <w:sz w:val="21"/>
          <w:szCs w:val="21"/>
        </w:rPr>
      </w:pPr>
    </w:p>
    <w:p>
      <w:pPr>
        <w:pStyle w:val="18"/>
        <w:ind w:firstLine="420"/>
      </w:pPr>
      <w:r>
        <w:rPr>
          <w:rFonts w:hint="eastAsia"/>
        </w:rPr>
        <w:t>在浏览器地址栏输入</w:t>
      </w:r>
      <w:r>
        <w:fldChar w:fldCharType="begin"/>
      </w:r>
      <w:r>
        <w:instrText xml:space="preserve"> HYPERLINK "http://biz.smpaa.cn/ysxtqx" \t "_blank" </w:instrText>
      </w:r>
      <w:r>
        <w:fldChar w:fldCharType="separate"/>
      </w:r>
      <w:r>
        <w:rPr>
          <w:rStyle w:val="13"/>
          <w:rFonts w:hint="eastAsia" w:ascii="微软雅黑" w:hAnsi="微软雅黑" w:eastAsia="微软雅黑"/>
          <w:color w:val="0C5E9C"/>
          <w:sz w:val="21"/>
          <w:szCs w:val="21"/>
          <w:shd w:val="clear" w:color="auto" w:fill="FFFFFF"/>
        </w:rPr>
        <w:t>http://biz.smpaa.cn/ysxtqx</w:t>
      </w:r>
      <w:r>
        <w:rPr>
          <w:rStyle w:val="13"/>
          <w:rFonts w:hint="eastAsia" w:ascii="微软雅黑" w:hAnsi="微软雅黑" w:eastAsia="微软雅黑"/>
          <w:color w:val="0C5E9C"/>
          <w:sz w:val="21"/>
          <w:szCs w:val="21"/>
          <w:shd w:val="clear" w:color="auto" w:fill="FFFFFF"/>
        </w:rPr>
        <w:fldChar w:fldCharType="end"/>
      </w:r>
      <w:r>
        <w:rPr>
          <w:rFonts w:hint="eastAsia"/>
        </w:rPr>
        <w:t>，然后输入用户名、密码和验证码</w:t>
      </w:r>
      <w:r>
        <w:t>,</w:t>
      </w:r>
      <w:r>
        <w:rPr>
          <w:rFonts w:hint="eastAsia"/>
        </w:rPr>
        <w:t>点击【登陆】按钮，若输入有误，点击【重置】按钮即可清空登陆页面输入框重新输入</w:t>
      </w:r>
    </w:p>
    <w:p>
      <w:pPr>
        <w:spacing w:line="360" w:lineRule="auto"/>
        <w:ind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医院用户登陆后页面：</w:t>
      </w:r>
    </w:p>
    <w:p>
      <w:pPr>
        <w:pStyle w:val="18"/>
        <w:keepNext/>
        <w:jc w:val="center"/>
      </w:pPr>
      <w:r>
        <w:drawing>
          <wp:inline distT="0" distB="0" distL="0" distR="0">
            <wp:extent cx="5274310" cy="2334260"/>
            <wp:effectExtent l="1905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 xml:space="preserve">图1-1-2：医院用户登陆页面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图1-1-2：药企用户登陆页面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jc w:val="center"/>
        <w:rPr>
          <w:rFonts w:cs="宋体"/>
          <w:sz w:val="21"/>
          <w:szCs w:val="21"/>
        </w:rPr>
      </w:pPr>
    </w:p>
    <w:p>
      <w:pPr>
        <w:pStyle w:val="2"/>
        <w:numPr>
          <w:ilvl w:val="0"/>
          <w:numId w:val="1"/>
        </w:numPr>
        <w:spacing w:line="360" w:lineRule="auto"/>
      </w:pPr>
      <w:bookmarkStart w:id="6" w:name="_Toc16090946"/>
      <w:r>
        <w:rPr>
          <w:rFonts w:hint="eastAsia"/>
        </w:rPr>
        <w:t>议价异常情况预警</w:t>
      </w:r>
      <w:bookmarkEnd w:id="6"/>
    </w:p>
    <w:p>
      <w:pPr>
        <w:pStyle w:val="3"/>
        <w:numPr>
          <w:ilvl w:val="1"/>
          <w:numId w:val="1"/>
        </w:numPr>
        <w:spacing w:line="360" w:lineRule="auto"/>
      </w:pPr>
      <w:bookmarkStart w:id="7" w:name="_Toc16090947"/>
      <w:r>
        <w:rPr>
          <w:rFonts w:hint="eastAsia"/>
        </w:rPr>
        <w:t>议价高于承诺价</w:t>
      </w:r>
      <w:bookmarkEnd w:id="7"/>
    </w:p>
    <w:p>
      <w:pPr>
        <w:keepNext/>
        <w:widowControl/>
        <w:spacing w:line="360" w:lineRule="auto"/>
        <w:jc w:val="left"/>
      </w:pPr>
      <w:r>
        <w:drawing>
          <wp:inline distT="0" distB="0" distL="0" distR="0">
            <wp:extent cx="5274310" cy="2687955"/>
            <wp:effectExtent l="19050" t="0" r="254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 xml:space="preserve">图2-1-1 议价高于承诺价页面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图2-1-1_外省市价格填报页面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可通过单一或组合查询条件查询符合条件的异常信息，也可直接点击【查询】按钮进行查询表示查询所有符合条件的登陆医院的异常信息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日期为必填项，开始日期默认显示为当前日期、结束日期为当前日期推后一个月，日期查询区间不能超过一个月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在&lt;信息</w:t>
      </w:r>
      <w:r>
        <w:rPr>
          <w:sz w:val="24"/>
        </w:rPr>
        <w:t>&gt;</w:t>
      </w:r>
      <w:r>
        <w:rPr>
          <w:rFonts w:hint="eastAsia"/>
          <w:sz w:val="24"/>
        </w:rPr>
        <w:t>信息框中，会显示根据查询条件查询出来的符合条件的信息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查询结果按照日期进行汇总并根据日期倒序显示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</w:t>
      </w:r>
      <w:r>
        <w:rPr>
          <w:rFonts w:hint="eastAsia"/>
          <w:sz w:val="24"/>
        </w:rPr>
        <w:drawing>
          <wp:inline distT="0" distB="0" distL="0" distR="0">
            <wp:extent cx="104775" cy="114300"/>
            <wp:effectExtent l="19050" t="0" r="9525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号展开相关日期会显示一个信息框，在该信息框中可查看该日期下符合条件的议价高于承诺价的信息, 如下图</w:t>
      </w:r>
      <w:r>
        <w:rPr>
          <w:rFonts w:cs="宋体"/>
          <w:szCs w:val="21"/>
        </w:rPr>
        <w:t>2-1-2</w:t>
      </w:r>
      <w:r>
        <w:rPr>
          <w:rFonts w:hint="eastAsia"/>
          <w:sz w:val="24"/>
        </w:rPr>
        <w:t>所示</w:t>
      </w:r>
    </w:p>
    <w:p>
      <w:pPr>
        <w:keepNext/>
        <w:spacing w:line="360" w:lineRule="auto"/>
      </w:pPr>
      <w:r>
        <w:drawing>
          <wp:inline distT="0" distB="0" distL="0" distR="0">
            <wp:extent cx="5274310" cy="1617980"/>
            <wp:effectExtent l="19050" t="0" r="2540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>图2-1-2 点击+号展开相关日期后显示的信息框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图2-1-2_基础信息填报——新增页面_1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在日期展开后显示的信息框中，可选中一条信息，选择异常原因，若异常原因为其他则必须输入备注内容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录入异常原因后，点击【保存】按钮即可保存已修改的信息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若自查状态为未整改，录入异常原因后状态会变成已整改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选中相关日期，点击【导出Excel】按钮即可导出符合该日期条件的所有议价高于承诺价信息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3"/>
        <w:numPr>
          <w:ilvl w:val="1"/>
          <w:numId w:val="1"/>
        </w:numPr>
        <w:spacing w:line="360" w:lineRule="auto"/>
      </w:pPr>
      <w:bookmarkStart w:id="8" w:name="_Toc16090948"/>
      <w:r>
        <w:rPr>
          <w:rFonts w:hint="eastAsia"/>
        </w:rPr>
        <w:t>发票价高于议价</w:t>
      </w:r>
      <w:bookmarkEnd w:id="8"/>
    </w:p>
    <w:p>
      <w:pPr>
        <w:keepNext/>
        <w:widowControl/>
        <w:spacing w:line="360" w:lineRule="auto"/>
        <w:jc w:val="left"/>
      </w:pPr>
      <w:r>
        <w:drawing>
          <wp:inline distT="0" distB="0" distL="0" distR="0">
            <wp:extent cx="5274310" cy="2627630"/>
            <wp:effectExtent l="19050" t="0" r="2540" b="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 xml:space="preserve">图2-2-1 发票价高于议价页面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图2-1-1_外省市价格填报页面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可通过单一或组合查询条件查询符合条件的异常信息，也可直接点击【查询】按钮进行查询表示查询所有符合条件的登陆医院的异常信息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日期为必填项，开始日期默认显示为当前日期、结束日期为当前日期推后一个月，日期查询区间不能超过一个月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在&lt;信息</w:t>
      </w:r>
      <w:r>
        <w:rPr>
          <w:sz w:val="24"/>
        </w:rPr>
        <w:t>&gt;</w:t>
      </w:r>
      <w:r>
        <w:rPr>
          <w:rFonts w:hint="eastAsia"/>
          <w:sz w:val="24"/>
        </w:rPr>
        <w:t>信息框中，会显示根据查询条件查询出来的符合条件的异常信息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查询结果按照日期进行汇总并根据日期倒序显示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</w:t>
      </w:r>
      <w:r>
        <w:rPr>
          <w:rFonts w:hint="eastAsia"/>
          <w:sz w:val="24"/>
        </w:rPr>
        <w:drawing>
          <wp:inline distT="0" distB="0" distL="0" distR="0">
            <wp:extent cx="104775" cy="114300"/>
            <wp:effectExtent l="19050" t="0" r="9525" b="0"/>
            <wp:docPr id="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号展开相关日期会显示一个信息框，在该信息框中可查看该日期下符合条件的所有发票高于议价的信息, 如下图</w:t>
      </w:r>
      <w:r>
        <w:rPr>
          <w:rFonts w:cs="宋体"/>
          <w:szCs w:val="21"/>
        </w:rPr>
        <w:t>2-</w:t>
      </w:r>
      <w:r>
        <w:rPr>
          <w:rFonts w:hint="eastAsia" w:cs="宋体"/>
          <w:szCs w:val="21"/>
        </w:rPr>
        <w:t>2</w:t>
      </w:r>
      <w:r>
        <w:rPr>
          <w:rFonts w:cs="宋体"/>
          <w:szCs w:val="21"/>
        </w:rPr>
        <w:t>-2</w:t>
      </w:r>
      <w:r>
        <w:rPr>
          <w:rFonts w:hint="eastAsia"/>
          <w:sz w:val="24"/>
        </w:rPr>
        <w:t>所示</w:t>
      </w:r>
    </w:p>
    <w:p>
      <w:pPr>
        <w:keepNext/>
        <w:spacing w:line="360" w:lineRule="auto"/>
      </w:pPr>
      <w:r>
        <w:drawing>
          <wp:inline distT="0" distB="0" distL="0" distR="0">
            <wp:extent cx="5274310" cy="1888490"/>
            <wp:effectExtent l="19050" t="0" r="2540" b="0"/>
            <wp:docPr id="5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>图2-2-2 点击+号展开相关日期后显示的信息框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图2-1-2_基础信息填报——新增页面_1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在日期展开后显示的信息框中，可选中一条信息，选择异常原因，若异常原因为其他则必须输入备注内容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录入异常原因后，点击【保存】按钮即可保存已修改的信息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若自查状态为未整改，录入异常原因后状态会变成已整改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选中相关日期，点击【导出Excel】按钮即可导出符合该日期条件的所有发票高于议价的信息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3"/>
        <w:numPr>
          <w:ilvl w:val="1"/>
          <w:numId w:val="1"/>
        </w:numPr>
        <w:spacing w:line="360" w:lineRule="auto"/>
      </w:pPr>
      <w:bookmarkStart w:id="9" w:name="_Toc16090949"/>
      <w:r>
        <w:rPr>
          <w:rFonts w:hint="eastAsia"/>
        </w:rPr>
        <w:t>无授权采购</w:t>
      </w:r>
      <w:bookmarkEnd w:id="9"/>
    </w:p>
    <w:p>
      <w:pPr>
        <w:keepNext/>
        <w:widowControl/>
        <w:spacing w:line="360" w:lineRule="auto"/>
        <w:jc w:val="left"/>
      </w:pPr>
      <w:r>
        <w:drawing>
          <wp:inline distT="0" distB="0" distL="0" distR="0">
            <wp:extent cx="5274310" cy="2725420"/>
            <wp:effectExtent l="19050" t="0" r="2540" b="0"/>
            <wp:docPr id="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 xml:space="preserve">图2-3-1 无授权采购页面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图2-1-1_外省市价格填报页面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可通过单一或组合查询条件查询符合条件的异常信息，也可直接点击【查询】按钮进行查询表示查询所有符合条件的登陆医院的异常信息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日期为必填项，开始日期默认显示为当前日期、结束日期为当前日期推后一个月，日期查询区间不能超过一个月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在&lt;信息</w:t>
      </w:r>
      <w:r>
        <w:rPr>
          <w:sz w:val="24"/>
        </w:rPr>
        <w:t>&gt;</w:t>
      </w:r>
      <w:r>
        <w:rPr>
          <w:rFonts w:hint="eastAsia"/>
          <w:sz w:val="24"/>
        </w:rPr>
        <w:t>信息框中，会显示根据查询条件查询出来的符合条件的异常信息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查询结果按照日期进行汇总并根据日期倒序显示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</w:t>
      </w:r>
      <w:r>
        <w:rPr>
          <w:rFonts w:hint="eastAsia"/>
          <w:sz w:val="24"/>
        </w:rPr>
        <w:drawing>
          <wp:inline distT="0" distB="0" distL="0" distR="0">
            <wp:extent cx="104775" cy="114300"/>
            <wp:effectExtent l="19050" t="0" r="9525" b="0"/>
            <wp:docPr id="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号展开相关日期会显示一个信息框，在该信息框中可查看该日期下符合条件的所有无授权采购的信息, 如下图</w:t>
      </w:r>
      <w:r>
        <w:rPr>
          <w:rFonts w:cs="宋体"/>
          <w:szCs w:val="21"/>
        </w:rPr>
        <w:t>2-</w:t>
      </w:r>
      <w:r>
        <w:rPr>
          <w:rFonts w:hint="eastAsia" w:cs="宋体"/>
          <w:szCs w:val="21"/>
        </w:rPr>
        <w:t>3</w:t>
      </w:r>
      <w:r>
        <w:rPr>
          <w:rFonts w:cs="宋体"/>
          <w:szCs w:val="21"/>
        </w:rPr>
        <w:t>-2</w:t>
      </w:r>
      <w:r>
        <w:rPr>
          <w:rFonts w:hint="eastAsia"/>
          <w:sz w:val="24"/>
        </w:rPr>
        <w:t>所示</w:t>
      </w:r>
    </w:p>
    <w:p>
      <w:pPr>
        <w:keepNext/>
        <w:spacing w:line="360" w:lineRule="auto"/>
      </w:pPr>
      <w:r>
        <w:drawing>
          <wp:inline distT="0" distB="0" distL="0" distR="0">
            <wp:extent cx="5274310" cy="1793875"/>
            <wp:effectExtent l="19050" t="0" r="2540" b="0"/>
            <wp:docPr id="7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>图2-3-2 点击+号展开相关日期后显示的信息框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图2-1-2_基础信息填报——新增页面_1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在日期展开后显示的信息框中，可选中一条信息，选择异常原因，若异常原因为其他则必须输入备注内容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录入异常原因后，点击【保存】按钮即可保存已修改的信息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若自查状态为未整改，录入异常原因后状态会变成已整改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选中相关日期，点击【导出Excel】按钮即可导出符合该日期条件的所有无授权采购的信息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3"/>
        <w:numPr>
          <w:ilvl w:val="1"/>
          <w:numId w:val="1"/>
        </w:numPr>
        <w:spacing w:line="360" w:lineRule="auto"/>
      </w:pPr>
      <w:bookmarkStart w:id="10" w:name="_Toc16090950"/>
      <w:r>
        <w:rPr>
          <w:rFonts w:hint="eastAsia"/>
        </w:rPr>
        <w:t>问询函查询</w:t>
      </w:r>
      <w:bookmarkEnd w:id="10"/>
    </w:p>
    <w:p>
      <w:pPr>
        <w:keepNext/>
        <w:widowControl/>
        <w:spacing w:line="360" w:lineRule="auto"/>
        <w:jc w:val="left"/>
      </w:pPr>
      <w:r>
        <w:drawing>
          <wp:inline distT="0" distB="0" distL="0" distR="0">
            <wp:extent cx="5274310" cy="2194560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</w:pPr>
      <w:r>
        <w:rPr>
          <w:rFonts w:hint="eastAsia"/>
        </w:rPr>
        <w:t>图2-4-1 问询函查询页面</w:t>
      </w: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可通过单一或组合查询条件查询符合条件的异常信息，也可直接点击【查询】按钮进行查询表示查询所有符合条件的登陆医院的异常信息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在&lt;问询函</w:t>
      </w:r>
      <w:r>
        <w:rPr>
          <w:sz w:val="24"/>
        </w:rPr>
        <w:t>&gt;</w:t>
      </w:r>
      <w:r>
        <w:rPr>
          <w:rFonts w:hint="eastAsia"/>
          <w:sz w:val="24"/>
        </w:rPr>
        <w:t>信息框中，会显示根据查询条件查询出来的符合条件的信息，如下图</w:t>
      </w:r>
      <w:r>
        <w:rPr>
          <w:rFonts w:cs="宋体"/>
          <w:szCs w:val="21"/>
        </w:rPr>
        <w:t>2-</w:t>
      </w:r>
      <w:r>
        <w:rPr>
          <w:rFonts w:hint="eastAsia" w:cs="宋体"/>
          <w:szCs w:val="21"/>
        </w:rPr>
        <w:t>4</w:t>
      </w:r>
      <w:r>
        <w:rPr>
          <w:rFonts w:cs="宋体"/>
          <w:szCs w:val="21"/>
        </w:rPr>
        <w:t>-2</w:t>
      </w:r>
      <w:r>
        <w:rPr>
          <w:rFonts w:hint="eastAsia"/>
          <w:sz w:val="24"/>
        </w:rPr>
        <w:t>所示</w:t>
      </w:r>
    </w:p>
    <w:p>
      <w:pPr>
        <w:keepNext/>
        <w:spacing w:line="360" w:lineRule="auto"/>
      </w:pPr>
      <w:r>
        <w:drawing>
          <wp:inline distT="0" distB="0" distL="0" distR="0">
            <wp:extent cx="5274310" cy="161480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center"/>
        <w:rPr>
          <w:sz w:val="21"/>
        </w:rPr>
      </w:pPr>
      <w:r>
        <w:rPr>
          <w:rFonts w:hint="eastAsia"/>
        </w:rPr>
        <w:t>图2-4-2 查询结果</w:t>
      </w:r>
    </w:p>
    <w:p>
      <w:pPr>
        <w:numPr>
          <w:ilvl w:val="1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勾选一条记录，点击【下载附件】按钮即可下载附件</w:t>
      </w:r>
    </w:p>
    <w:p>
      <w:pPr>
        <w:spacing w:line="360" w:lineRule="auto"/>
      </w:pP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2193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D01"/>
    <w:multiLevelType w:val="multilevel"/>
    <w:tmpl w:val="4EAE2D01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B5F647C"/>
    <w:multiLevelType w:val="multilevel"/>
    <w:tmpl w:val="6B5F647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E9"/>
    <w:rsid w:val="00012194"/>
    <w:rsid w:val="00022C3E"/>
    <w:rsid w:val="00041291"/>
    <w:rsid w:val="00051A58"/>
    <w:rsid w:val="00051D49"/>
    <w:rsid w:val="00052E2E"/>
    <w:rsid w:val="00064B31"/>
    <w:rsid w:val="000652E7"/>
    <w:rsid w:val="000678D1"/>
    <w:rsid w:val="0007104E"/>
    <w:rsid w:val="00082D58"/>
    <w:rsid w:val="00084164"/>
    <w:rsid w:val="000869B4"/>
    <w:rsid w:val="00086C09"/>
    <w:rsid w:val="00093238"/>
    <w:rsid w:val="000B1B84"/>
    <w:rsid w:val="000E25CD"/>
    <w:rsid w:val="000E7CE4"/>
    <w:rsid w:val="000F11E7"/>
    <w:rsid w:val="000F5B15"/>
    <w:rsid w:val="00100030"/>
    <w:rsid w:val="0010339B"/>
    <w:rsid w:val="0011114D"/>
    <w:rsid w:val="001154E9"/>
    <w:rsid w:val="00123005"/>
    <w:rsid w:val="00131556"/>
    <w:rsid w:val="00146D44"/>
    <w:rsid w:val="00154E3F"/>
    <w:rsid w:val="00160DB5"/>
    <w:rsid w:val="00161D0C"/>
    <w:rsid w:val="0016536B"/>
    <w:rsid w:val="00184D89"/>
    <w:rsid w:val="00191F7E"/>
    <w:rsid w:val="00197211"/>
    <w:rsid w:val="001A00FF"/>
    <w:rsid w:val="001A0149"/>
    <w:rsid w:val="001B5B5F"/>
    <w:rsid w:val="001D6BB2"/>
    <w:rsid w:val="001E1E7D"/>
    <w:rsid w:val="001E3A60"/>
    <w:rsid w:val="001E48F7"/>
    <w:rsid w:val="001E7BA3"/>
    <w:rsid w:val="001F3FA7"/>
    <w:rsid w:val="00205C9D"/>
    <w:rsid w:val="002102F2"/>
    <w:rsid w:val="002233CA"/>
    <w:rsid w:val="00224595"/>
    <w:rsid w:val="00237A70"/>
    <w:rsid w:val="002421CB"/>
    <w:rsid w:val="00242453"/>
    <w:rsid w:val="00243822"/>
    <w:rsid w:val="0025181D"/>
    <w:rsid w:val="00254C79"/>
    <w:rsid w:val="00257273"/>
    <w:rsid w:val="002573C7"/>
    <w:rsid w:val="002A2B92"/>
    <w:rsid w:val="002A37A0"/>
    <w:rsid w:val="002B1306"/>
    <w:rsid w:val="002B31BF"/>
    <w:rsid w:val="002B6F3A"/>
    <w:rsid w:val="002E0AE6"/>
    <w:rsid w:val="002E0B8E"/>
    <w:rsid w:val="002F0D5A"/>
    <w:rsid w:val="002F42ED"/>
    <w:rsid w:val="00303807"/>
    <w:rsid w:val="003103CE"/>
    <w:rsid w:val="00336FE1"/>
    <w:rsid w:val="0034049C"/>
    <w:rsid w:val="00342BF7"/>
    <w:rsid w:val="00345D6E"/>
    <w:rsid w:val="003476D8"/>
    <w:rsid w:val="00351552"/>
    <w:rsid w:val="00362C0E"/>
    <w:rsid w:val="003820CF"/>
    <w:rsid w:val="00387988"/>
    <w:rsid w:val="003A71CC"/>
    <w:rsid w:val="003B67E5"/>
    <w:rsid w:val="003B7943"/>
    <w:rsid w:val="003C3F1D"/>
    <w:rsid w:val="003C463B"/>
    <w:rsid w:val="00414DD7"/>
    <w:rsid w:val="004268E1"/>
    <w:rsid w:val="004325A5"/>
    <w:rsid w:val="004402FB"/>
    <w:rsid w:val="004425C2"/>
    <w:rsid w:val="00444954"/>
    <w:rsid w:val="0044518F"/>
    <w:rsid w:val="00461190"/>
    <w:rsid w:val="00491C85"/>
    <w:rsid w:val="00493E87"/>
    <w:rsid w:val="004A190D"/>
    <w:rsid w:val="004D1AA0"/>
    <w:rsid w:val="004E1AB5"/>
    <w:rsid w:val="004E69B6"/>
    <w:rsid w:val="004F0DE1"/>
    <w:rsid w:val="004F26A0"/>
    <w:rsid w:val="00500EA6"/>
    <w:rsid w:val="00505686"/>
    <w:rsid w:val="00512AD2"/>
    <w:rsid w:val="0051358A"/>
    <w:rsid w:val="00515CB5"/>
    <w:rsid w:val="005237BF"/>
    <w:rsid w:val="00523A44"/>
    <w:rsid w:val="00525E83"/>
    <w:rsid w:val="005358C8"/>
    <w:rsid w:val="005369BB"/>
    <w:rsid w:val="00554B78"/>
    <w:rsid w:val="00556369"/>
    <w:rsid w:val="00561345"/>
    <w:rsid w:val="005619B4"/>
    <w:rsid w:val="00561BA5"/>
    <w:rsid w:val="00562DDC"/>
    <w:rsid w:val="005676E1"/>
    <w:rsid w:val="00572A9E"/>
    <w:rsid w:val="00574AA4"/>
    <w:rsid w:val="005873A2"/>
    <w:rsid w:val="005A692C"/>
    <w:rsid w:val="005B1086"/>
    <w:rsid w:val="005B601F"/>
    <w:rsid w:val="005D6BE2"/>
    <w:rsid w:val="005D6E07"/>
    <w:rsid w:val="005E364F"/>
    <w:rsid w:val="005F29A5"/>
    <w:rsid w:val="00616093"/>
    <w:rsid w:val="00617FD6"/>
    <w:rsid w:val="00622803"/>
    <w:rsid w:val="00624B12"/>
    <w:rsid w:val="006328B6"/>
    <w:rsid w:val="00635538"/>
    <w:rsid w:val="00644727"/>
    <w:rsid w:val="00652F79"/>
    <w:rsid w:val="00662B16"/>
    <w:rsid w:val="00671FBE"/>
    <w:rsid w:val="00672828"/>
    <w:rsid w:val="00681204"/>
    <w:rsid w:val="006827C8"/>
    <w:rsid w:val="006846F5"/>
    <w:rsid w:val="00697469"/>
    <w:rsid w:val="006A1D02"/>
    <w:rsid w:val="006A2D24"/>
    <w:rsid w:val="006B11CD"/>
    <w:rsid w:val="006B1824"/>
    <w:rsid w:val="006B5F6D"/>
    <w:rsid w:val="006C6F7B"/>
    <w:rsid w:val="006D1001"/>
    <w:rsid w:val="006D6C7C"/>
    <w:rsid w:val="006E6554"/>
    <w:rsid w:val="00707AD3"/>
    <w:rsid w:val="007129F5"/>
    <w:rsid w:val="00714C87"/>
    <w:rsid w:val="00716994"/>
    <w:rsid w:val="00723D80"/>
    <w:rsid w:val="00726935"/>
    <w:rsid w:val="007314DD"/>
    <w:rsid w:val="00733858"/>
    <w:rsid w:val="00740127"/>
    <w:rsid w:val="007402D3"/>
    <w:rsid w:val="00741C70"/>
    <w:rsid w:val="007552AE"/>
    <w:rsid w:val="007566A2"/>
    <w:rsid w:val="0076026C"/>
    <w:rsid w:val="00761FC3"/>
    <w:rsid w:val="007651BF"/>
    <w:rsid w:val="00783550"/>
    <w:rsid w:val="007835C6"/>
    <w:rsid w:val="00792186"/>
    <w:rsid w:val="007947DF"/>
    <w:rsid w:val="0079765E"/>
    <w:rsid w:val="00797CC6"/>
    <w:rsid w:val="007C2A2F"/>
    <w:rsid w:val="007D7EE7"/>
    <w:rsid w:val="007E6027"/>
    <w:rsid w:val="007F5709"/>
    <w:rsid w:val="0082006F"/>
    <w:rsid w:val="00820366"/>
    <w:rsid w:val="00825DFC"/>
    <w:rsid w:val="00826D5C"/>
    <w:rsid w:val="00827000"/>
    <w:rsid w:val="00834451"/>
    <w:rsid w:val="008355CF"/>
    <w:rsid w:val="00843839"/>
    <w:rsid w:val="008515DE"/>
    <w:rsid w:val="00857FB1"/>
    <w:rsid w:val="00861761"/>
    <w:rsid w:val="00873783"/>
    <w:rsid w:val="008754E1"/>
    <w:rsid w:val="00875E99"/>
    <w:rsid w:val="00886F64"/>
    <w:rsid w:val="00887A3D"/>
    <w:rsid w:val="008A433E"/>
    <w:rsid w:val="008A4513"/>
    <w:rsid w:val="008C620A"/>
    <w:rsid w:val="008D127A"/>
    <w:rsid w:val="008D49B6"/>
    <w:rsid w:val="008D70CE"/>
    <w:rsid w:val="008E0236"/>
    <w:rsid w:val="008E4E70"/>
    <w:rsid w:val="0091766B"/>
    <w:rsid w:val="00921B09"/>
    <w:rsid w:val="00923BDA"/>
    <w:rsid w:val="00930CBC"/>
    <w:rsid w:val="00936C48"/>
    <w:rsid w:val="00945BA8"/>
    <w:rsid w:val="00954E50"/>
    <w:rsid w:val="00960FAA"/>
    <w:rsid w:val="009613F5"/>
    <w:rsid w:val="00965F55"/>
    <w:rsid w:val="009717AB"/>
    <w:rsid w:val="00993493"/>
    <w:rsid w:val="00997026"/>
    <w:rsid w:val="009A709C"/>
    <w:rsid w:val="009B4D26"/>
    <w:rsid w:val="009B510F"/>
    <w:rsid w:val="009C6E7E"/>
    <w:rsid w:val="009D29E7"/>
    <w:rsid w:val="009D4EC8"/>
    <w:rsid w:val="009E436A"/>
    <w:rsid w:val="009E77B3"/>
    <w:rsid w:val="009F2907"/>
    <w:rsid w:val="00A065D6"/>
    <w:rsid w:val="00A205DE"/>
    <w:rsid w:val="00A20E17"/>
    <w:rsid w:val="00A35ABB"/>
    <w:rsid w:val="00A40B02"/>
    <w:rsid w:val="00A4493E"/>
    <w:rsid w:val="00A55386"/>
    <w:rsid w:val="00A57027"/>
    <w:rsid w:val="00A705BF"/>
    <w:rsid w:val="00A730CF"/>
    <w:rsid w:val="00A80168"/>
    <w:rsid w:val="00A806CB"/>
    <w:rsid w:val="00A878C2"/>
    <w:rsid w:val="00AA3376"/>
    <w:rsid w:val="00AA5EE4"/>
    <w:rsid w:val="00AA6540"/>
    <w:rsid w:val="00AA7DDA"/>
    <w:rsid w:val="00AB3104"/>
    <w:rsid w:val="00AC1B7C"/>
    <w:rsid w:val="00AE1F9A"/>
    <w:rsid w:val="00AE4E2D"/>
    <w:rsid w:val="00B014D2"/>
    <w:rsid w:val="00B04978"/>
    <w:rsid w:val="00B063A2"/>
    <w:rsid w:val="00B169CD"/>
    <w:rsid w:val="00B20021"/>
    <w:rsid w:val="00B507FA"/>
    <w:rsid w:val="00B50E32"/>
    <w:rsid w:val="00B62907"/>
    <w:rsid w:val="00B83796"/>
    <w:rsid w:val="00B901C7"/>
    <w:rsid w:val="00B970FC"/>
    <w:rsid w:val="00BB334A"/>
    <w:rsid w:val="00BC2FE8"/>
    <w:rsid w:val="00BC765F"/>
    <w:rsid w:val="00BD7B92"/>
    <w:rsid w:val="00BE0D2B"/>
    <w:rsid w:val="00BE30E8"/>
    <w:rsid w:val="00BE683C"/>
    <w:rsid w:val="00BF01F4"/>
    <w:rsid w:val="00BF738A"/>
    <w:rsid w:val="00BF7A45"/>
    <w:rsid w:val="00C05C34"/>
    <w:rsid w:val="00C079FA"/>
    <w:rsid w:val="00C140BD"/>
    <w:rsid w:val="00C227AB"/>
    <w:rsid w:val="00C23D00"/>
    <w:rsid w:val="00C33753"/>
    <w:rsid w:val="00C34E8A"/>
    <w:rsid w:val="00C6614F"/>
    <w:rsid w:val="00C6626D"/>
    <w:rsid w:val="00C67FE7"/>
    <w:rsid w:val="00C71CEC"/>
    <w:rsid w:val="00C71FE7"/>
    <w:rsid w:val="00C75171"/>
    <w:rsid w:val="00C76017"/>
    <w:rsid w:val="00C82883"/>
    <w:rsid w:val="00C83FDA"/>
    <w:rsid w:val="00C923B6"/>
    <w:rsid w:val="00CA0581"/>
    <w:rsid w:val="00CA5D8A"/>
    <w:rsid w:val="00CC0818"/>
    <w:rsid w:val="00CC0A0E"/>
    <w:rsid w:val="00CC3065"/>
    <w:rsid w:val="00CC3F25"/>
    <w:rsid w:val="00CD138F"/>
    <w:rsid w:val="00CE2089"/>
    <w:rsid w:val="00CE258C"/>
    <w:rsid w:val="00CF3CFB"/>
    <w:rsid w:val="00D00A21"/>
    <w:rsid w:val="00D06716"/>
    <w:rsid w:val="00D17025"/>
    <w:rsid w:val="00D27B29"/>
    <w:rsid w:val="00D31249"/>
    <w:rsid w:val="00D33978"/>
    <w:rsid w:val="00D3756A"/>
    <w:rsid w:val="00D377E5"/>
    <w:rsid w:val="00D431D9"/>
    <w:rsid w:val="00D43FAE"/>
    <w:rsid w:val="00D45968"/>
    <w:rsid w:val="00D467A9"/>
    <w:rsid w:val="00D5040E"/>
    <w:rsid w:val="00D75DF9"/>
    <w:rsid w:val="00D81E5D"/>
    <w:rsid w:val="00D85D34"/>
    <w:rsid w:val="00DA00FF"/>
    <w:rsid w:val="00DA1052"/>
    <w:rsid w:val="00DA23FA"/>
    <w:rsid w:val="00DA3827"/>
    <w:rsid w:val="00DA671D"/>
    <w:rsid w:val="00DB0887"/>
    <w:rsid w:val="00DC5D52"/>
    <w:rsid w:val="00DC6457"/>
    <w:rsid w:val="00DF6131"/>
    <w:rsid w:val="00E03988"/>
    <w:rsid w:val="00E04A5E"/>
    <w:rsid w:val="00E13B2F"/>
    <w:rsid w:val="00E345FA"/>
    <w:rsid w:val="00E34E36"/>
    <w:rsid w:val="00E434B4"/>
    <w:rsid w:val="00E449D3"/>
    <w:rsid w:val="00E54F4A"/>
    <w:rsid w:val="00E6516B"/>
    <w:rsid w:val="00E806F7"/>
    <w:rsid w:val="00E91BA2"/>
    <w:rsid w:val="00E94D8E"/>
    <w:rsid w:val="00EA46BC"/>
    <w:rsid w:val="00EC34E3"/>
    <w:rsid w:val="00EC69CF"/>
    <w:rsid w:val="00ED24E8"/>
    <w:rsid w:val="00ED6238"/>
    <w:rsid w:val="00ED757F"/>
    <w:rsid w:val="00ED7FEF"/>
    <w:rsid w:val="00EE1475"/>
    <w:rsid w:val="00EE195C"/>
    <w:rsid w:val="00EE1B67"/>
    <w:rsid w:val="00EE21CA"/>
    <w:rsid w:val="00EE261A"/>
    <w:rsid w:val="00EE2B9C"/>
    <w:rsid w:val="00EF1570"/>
    <w:rsid w:val="00F0567A"/>
    <w:rsid w:val="00F07F24"/>
    <w:rsid w:val="00F147DF"/>
    <w:rsid w:val="00F31311"/>
    <w:rsid w:val="00F34D49"/>
    <w:rsid w:val="00F4054A"/>
    <w:rsid w:val="00F40BB6"/>
    <w:rsid w:val="00F51948"/>
    <w:rsid w:val="00F63847"/>
    <w:rsid w:val="00F86CD4"/>
    <w:rsid w:val="00F86F50"/>
    <w:rsid w:val="00F90188"/>
    <w:rsid w:val="00F91C84"/>
    <w:rsid w:val="00FA2F2B"/>
    <w:rsid w:val="00FA47F6"/>
    <w:rsid w:val="00FD1B39"/>
    <w:rsid w:val="00FD6CB3"/>
    <w:rsid w:val="00FE0F2E"/>
    <w:rsid w:val="00FE4E7E"/>
    <w:rsid w:val="00FF23F9"/>
    <w:rsid w:val="00FF298A"/>
    <w:rsid w:val="36B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Document Map"/>
    <w:basedOn w:val="1"/>
    <w:link w:val="20"/>
    <w:semiHidden/>
    <w:unhideWhenUsed/>
    <w:uiPriority w:val="99"/>
    <w:rPr>
      <w:rFonts w:ascii="Tahoma" w:hAnsi="Tahoma" w:cs="Tahoma"/>
      <w:sz w:val="18"/>
      <w:szCs w:val="18"/>
    </w:r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Heading 1 Char"/>
    <w:basedOn w:val="12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5">
    <w:name w:val="Heading 2 Char"/>
    <w:basedOn w:val="12"/>
    <w:link w:val="3"/>
    <w:semiHidden/>
    <w:qFormat/>
    <w:uiPriority w:val="9"/>
    <w:rPr>
      <w:rFonts w:ascii="Cambria" w:hAnsi="Cambria" w:eastAsia="宋体" w:cs="宋体"/>
      <w:b/>
      <w:bCs/>
      <w:kern w:val="0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8">
    <w:name w:val="正文样式"/>
    <w:basedOn w:val="1"/>
    <w:uiPriority w:val="0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19">
    <w:name w:val="Balloon Text Char"/>
    <w:basedOn w:val="12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Document Map Char"/>
    <w:basedOn w:val="12"/>
    <w:link w:val="5"/>
    <w:semiHidden/>
    <w:uiPriority w:val="99"/>
    <w:rPr>
      <w:rFonts w:ascii="Tahoma" w:hAnsi="Tahoma" w:eastAsia="宋体" w:cs="Tahoma"/>
      <w:sz w:val="18"/>
      <w:szCs w:val="18"/>
    </w:rPr>
  </w:style>
  <w:style w:type="character" w:customStyle="1" w:styleId="21">
    <w:name w:val="Header Char"/>
    <w:basedOn w:val="12"/>
    <w:link w:val="8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oter Char"/>
    <w:basedOn w:val="12"/>
    <w:link w:val="7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DEB79-BE3D-4690-AEFA-CE78955DD2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367</Words>
  <Characters>2093</Characters>
  <Lines>17</Lines>
  <Paragraphs>4</Paragraphs>
  <TotalTime>1922</TotalTime>
  <ScaleCrop>false</ScaleCrop>
  <LinksUpToDate>false</LinksUpToDate>
  <CharactersWithSpaces>2456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2019-03-12T02:10:00Z</dcterms:created>
  <dc:creator>微软用户</dc:creator>
  <cp:lastModifiedBy>黄丽钦</cp:lastModifiedBy>
  <dcterms:modified xsi:type="dcterms:W3CDTF">2019-08-15T07:56:36Z</dcterms:modified>
  <cp:revision>491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