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02" w:rsidRPr="00962CC2" w:rsidRDefault="00CF1902" w:rsidP="00CF1902">
      <w:pPr>
        <w:widowControl/>
        <w:spacing w:line="360" w:lineRule="atLeast"/>
        <w:jc w:val="left"/>
        <w:rPr>
          <w:rFonts w:ascii="黑体" w:eastAsia="黑体" w:hAnsi="Times New Roman" w:cs="Times New Roman"/>
          <w:szCs w:val="32"/>
        </w:rPr>
      </w:pPr>
      <w:r w:rsidRPr="00962CC2">
        <w:rPr>
          <w:rFonts w:ascii="黑体" w:eastAsia="黑体" w:hAnsi="Times New Roman" w:cs="Times New Roman" w:hint="eastAsia"/>
          <w:szCs w:val="32"/>
        </w:rPr>
        <w:t>附件1</w:t>
      </w:r>
    </w:p>
    <w:p w:rsidR="00CF1902" w:rsidRDefault="00CF1902" w:rsidP="00CF1902">
      <w:pPr>
        <w:widowControl/>
        <w:spacing w:afterLines="50"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参考目录</w:t>
      </w:r>
    </w:p>
    <w:tbl>
      <w:tblPr>
        <w:tblW w:w="9709" w:type="dxa"/>
        <w:jc w:val="center"/>
        <w:tblInd w:w="-1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8"/>
        <w:gridCol w:w="5391"/>
      </w:tblGrid>
      <w:tr w:rsidR="00CF1902" w:rsidTr="006F1B73">
        <w:trPr>
          <w:trHeight w:val="669"/>
          <w:jc w:val="center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center"/>
              <w:rPr>
                <w:rFonts w:ascii="仿宋" w:hAnsi="仿宋" w:cs="宋体"/>
                <w:b/>
                <w:color w:val="333333"/>
                <w:kern w:val="0"/>
                <w:sz w:val="18"/>
                <w:szCs w:val="18"/>
              </w:rPr>
            </w:pPr>
            <w:r w:rsidRPr="00962CC2">
              <w:rPr>
                <w:rFonts w:ascii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5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center"/>
              <w:rPr>
                <w:rFonts w:ascii="仿宋" w:hAnsi="仿宋" w:cs="宋体"/>
                <w:b/>
                <w:color w:val="333333"/>
                <w:kern w:val="0"/>
                <w:sz w:val="18"/>
                <w:szCs w:val="18"/>
              </w:rPr>
            </w:pPr>
            <w:r w:rsidRPr="00962CC2">
              <w:rPr>
                <w:rFonts w:ascii="仿宋" w:hAnsi="仿宋" w:cs="Times New Roman"/>
                <w:b/>
                <w:bCs/>
                <w:color w:val="000000"/>
                <w:kern w:val="0"/>
                <w:sz w:val="30"/>
                <w:szCs w:val="30"/>
              </w:rPr>
              <w:t>包括但不限于以下品目</w:t>
            </w:r>
          </w:p>
        </w:tc>
      </w:tr>
      <w:tr w:rsidR="00CF1902" w:rsidRPr="00962CC2" w:rsidTr="006F1B73">
        <w:trPr>
          <w:trHeight w:val="1248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血管介入类</w:t>
            </w:r>
          </w:p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涉及：冠状动脉、结构性心脏病、先天性心脏病、周围血管等</w:t>
            </w:r>
          </w:p>
        </w:tc>
        <w:tc>
          <w:tcPr>
            <w:tcW w:w="5391" w:type="dxa"/>
            <w:tcBorders>
              <w:top w:val="nil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导管、导丝、球囊、支架及辅助材料</w:t>
            </w:r>
          </w:p>
        </w:tc>
      </w:tr>
      <w:tr w:rsidR="00CF1902" w:rsidRPr="00962CC2" w:rsidTr="006F1B73">
        <w:trPr>
          <w:trHeight w:val="1248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非血管介入类</w:t>
            </w:r>
          </w:p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涉及：气管、消化道（食管、肠道、胆道、胰腺）、膀胱、直肠等</w:t>
            </w:r>
          </w:p>
        </w:tc>
        <w:tc>
          <w:tcPr>
            <w:tcW w:w="5391" w:type="dxa"/>
            <w:tcBorders>
              <w:top w:val="nil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导管、导丝、球囊、支架、各种内窥镜涉及的材料</w:t>
            </w:r>
          </w:p>
        </w:tc>
      </w:tr>
      <w:tr w:rsidR="00CF1902" w:rsidRPr="00962CC2" w:rsidTr="006F1B73">
        <w:trPr>
          <w:trHeight w:val="1248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骨科植入</w:t>
            </w:r>
          </w:p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涉及：脊柱、关节、创伤等</w:t>
            </w:r>
          </w:p>
        </w:tc>
        <w:tc>
          <w:tcPr>
            <w:tcW w:w="5391" w:type="dxa"/>
            <w:tcBorders>
              <w:top w:val="nil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人工关节（椎体、椎板），固定板（钉、针、架、棒、钩），人工骨、修补材料等</w:t>
            </w:r>
          </w:p>
        </w:tc>
      </w:tr>
      <w:tr w:rsidR="00CF1902" w:rsidRPr="00962CC2" w:rsidTr="006F1B73">
        <w:trPr>
          <w:trHeight w:val="466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神经外科</w:t>
            </w:r>
          </w:p>
        </w:tc>
        <w:tc>
          <w:tcPr>
            <w:tcW w:w="5391" w:type="dxa"/>
            <w:tcBorders>
              <w:top w:val="nil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颅内植入物、填充物等</w:t>
            </w:r>
          </w:p>
        </w:tc>
      </w:tr>
      <w:tr w:rsidR="00CF1902" w:rsidRPr="00962CC2" w:rsidTr="006F1B73">
        <w:trPr>
          <w:trHeight w:val="390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电生理类</w:t>
            </w:r>
          </w:p>
        </w:tc>
        <w:tc>
          <w:tcPr>
            <w:tcW w:w="5391" w:type="dxa"/>
            <w:tcBorders>
              <w:top w:val="nil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标测导管、消融导管等</w:t>
            </w:r>
          </w:p>
        </w:tc>
      </w:tr>
      <w:tr w:rsidR="00CF1902" w:rsidRPr="00962CC2" w:rsidTr="006F1B73">
        <w:trPr>
          <w:trHeight w:val="1023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起搏器类</w:t>
            </w:r>
          </w:p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涉及：心脏、膀胱等</w:t>
            </w:r>
          </w:p>
        </w:tc>
        <w:tc>
          <w:tcPr>
            <w:tcW w:w="5391" w:type="dxa"/>
            <w:tcBorders>
              <w:top w:val="nil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永久、临时、起搏导管、心脏复律除颤器、起搏导线等</w:t>
            </w:r>
          </w:p>
        </w:tc>
      </w:tr>
      <w:tr w:rsidR="00CF1902" w:rsidRPr="00962CC2" w:rsidTr="006F1B73">
        <w:trPr>
          <w:trHeight w:val="968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体外循环及血液净化</w:t>
            </w:r>
          </w:p>
        </w:tc>
        <w:tc>
          <w:tcPr>
            <w:tcW w:w="5391" w:type="dxa"/>
            <w:tcBorders>
              <w:top w:val="nil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人工心肺辅助材料、透析管路、滤器、分离器、附件等</w:t>
            </w:r>
          </w:p>
        </w:tc>
      </w:tr>
      <w:tr w:rsidR="00CF1902" w:rsidRPr="00962CC2" w:rsidTr="006F1B73">
        <w:trPr>
          <w:trHeight w:val="698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眼科材料</w:t>
            </w:r>
          </w:p>
        </w:tc>
        <w:tc>
          <w:tcPr>
            <w:tcW w:w="5391" w:type="dxa"/>
            <w:tcBorders>
              <w:top w:val="nil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晶体、眼内填充物等</w:t>
            </w:r>
          </w:p>
        </w:tc>
      </w:tr>
      <w:tr w:rsidR="00CF1902" w:rsidRPr="00962CC2" w:rsidTr="006F1B73">
        <w:trPr>
          <w:trHeight w:val="1116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口腔科</w:t>
            </w:r>
          </w:p>
        </w:tc>
        <w:tc>
          <w:tcPr>
            <w:tcW w:w="5391" w:type="dxa"/>
            <w:tcBorders>
              <w:top w:val="nil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印膜、种植、颌面创伤修复、口腔充填、根管治疗、粘接、义齿、正畸、矫治等材料</w:t>
            </w:r>
          </w:p>
        </w:tc>
      </w:tr>
      <w:tr w:rsidR="00CF1902" w:rsidRPr="00962CC2" w:rsidTr="006F1B73">
        <w:trPr>
          <w:trHeight w:val="962"/>
          <w:jc w:val="center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902" w:rsidRPr="00962CC2" w:rsidRDefault="00CF1902" w:rsidP="006F1B73">
            <w:pPr>
              <w:widowControl/>
              <w:spacing w:line="480" w:lineRule="exact"/>
              <w:jc w:val="left"/>
              <w:rPr>
                <w:rFonts w:ascii="方正楷体简体" w:eastAsia="方正楷体简体" w:hAnsi="宋体" w:cs="宋体"/>
                <w:color w:val="333333"/>
                <w:kern w:val="0"/>
                <w:sz w:val="28"/>
                <w:szCs w:val="28"/>
              </w:rPr>
            </w:pPr>
            <w:r w:rsidRPr="00962CC2">
              <w:rPr>
                <w:rFonts w:ascii="方正楷体简体" w:eastAsia="方正楷体简体" w:hAnsi="Times New Roman" w:cs="Times New Roman" w:hint="eastAsia"/>
                <w:color w:val="000000"/>
                <w:kern w:val="0"/>
                <w:sz w:val="28"/>
                <w:szCs w:val="28"/>
              </w:rPr>
              <w:t>人工瓣膜、人工补片、人工血管、高分子材料等</w:t>
            </w:r>
          </w:p>
        </w:tc>
      </w:tr>
    </w:tbl>
    <w:p w:rsidR="00765197" w:rsidRPr="00CF1902" w:rsidRDefault="00765197"/>
    <w:sectPr w:rsidR="00765197" w:rsidRPr="00CF1902" w:rsidSect="0076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902"/>
    <w:rsid w:val="00765197"/>
    <w:rsid w:val="00CF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02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2017-11-24T09:51:00Z</dcterms:created>
  <dcterms:modified xsi:type="dcterms:W3CDTF">2017-11-24T09:51:00Z</dcterms:modified>
</cp:coreProperties>
</file>