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86338" w:rsidP="00B14984">
      <w:pPr>
        <w:tabs>
          <w:tab w:val="left" w:pos="7200"/>
          <w:tab w:val="left" w:pos="7380"/>
          <w:tab w:val="left" w:pos="7560"/>
        </w:tabs>
        <w:overflowPunct w:val="0"/>
        <w:spacing w:line="590" w:lineRule="exact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</w:t>
      </w:r>
    </w:p>
    <w:p w:rsidR="00000000" w:rsidRDefault="00086338" w:rsidP="00B14984">
      <w:pPr>
        <w:tabs>
          <w:tab w:val="left" w:pos="7200"/>
          <w:tab w:val="left" w:pos="7380"/>
          <w:tab w:val="left" w:pos="7560"/>
        </w:tabs>
        <w:overflowPunct w:val="0"/>
        <w:spacing w:line="590" w:lineRule="exact"/>
        <w:jc w:val="left"/>
        <w:rPr>
          <w:rFonts w:eastAsia="黑体"/>
          <w:color w:val="000000"/>
          <w:sz w:val="32"/>
          <w:szCs w:val="32"/>
        </w:rPr>
      </w:pPr>
    </w:p>
    <w:p w:rsidR="00000000" w:rsidRDefault="00086338" w:rsidP="00B14984">
      <w:pPr>
        <w:overflowPunct w:val="0"/>
        <w:spacing w:line="590" w:lineRule="exact"/>
        <w:jc w:val="center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color w:val="000000"/>
          <w:sz w:val="44"/>
          <w:szCs w:val="44"/>
        </w:rPr>
        <w:t>双氯芬酸钠栓</w:t>
      </w:r>
      <w:r>
        <w:rPr>
          <w:rFonts w:eastAsia="方正小标宋简体"/>
          <w:color w:val="000000"/>
          <w:sz w:val="44"/>
          <w:szCs w:val="44"/>
        </w:rPr>
        <w:t>说明书修订要求</w:t>
      </w:r>
    </w:p>
    <w:p w:rsidR="00000000" w:rsidRDefault="00086338" w:rsidP="00B14984">
      <w:pPr>
        <w:overflowPunct w:val="0"/>
        <w:spacing w:line="590" w:lineRule="exact"/>
        <w:ind w:left="1280" w:hangingChars="400" w:hanging="1280"/>
        <w:jc w:val="center"/>
        <w:rPr>
          <w:rFonts w:eastAsia="仿宋_GB2312"/>
          <w:color w:val="000000"/>
          <w:sz w:val="32"/>
          <w:szCs w:val="32"/>
        </w:rPr>
      </w:pPr>
    </w:p>
    <w:p w:rsidR="00000000" w:rsidRDefault="00086338" w:rsidP="00B14984">
      <w:pPr>
        <w:overflowPunct w:val="0"/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一、增加警示语</w:t>
      </w:r>
    </w:p>
    <w:p w:rsidR="00000000" w:rsidRDefault="00086338" w:rsidP="00B14984">
      <w:pPr>
        <w:overflowPunct w:val="0"/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品可致严重过敏反应（包括过敏性休克），给药期间应对患者密切观察，一旦出现过敏反应或其他严重不良反应须立即停药并及时救治；可致患者虚脱，血压下降，给药期间应对患者密切观察，必要时及时救治。</w:t>
      </w:r>
    </w:p>
    <w:p w:rsidR="00000000" w:rsidRDefault="00086338" w:rsidP="00B14984">
      <w:pPr>
        <w:overflowPunct w:val="0"/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二、适应症修订为</w:t>
      </w:r>
    </w:p>
    <w:p w:rsidR="00000000" w:rsidRDefault="00086338" w:rsidP="00B14984">
      <w:pPr>
        <w:overflowPunct w:val="0"/>
        <w:spacing w:line="590" w:lineRule="exact"/>
        <w:ind w:firstLineChars="200" w:firstLine="64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解热镇痛类药。用于类风湿关节炎，手术后疼痛及各种原因所致发热的短期治疗。</w:t>
      </w:r>
    </w:p>
    <w:p w:rsidR="00000000" w:rsidRDefault="00086338" w:rsidP="00B14984">
      <w:pPr>
        <w:overflowPunct w:val="0"/>
        <w:spacing w:line="590" w:lineRule="exact"/>
        <w:ind w:firstLineChars="200" w:firstLine="640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三</w:t>
      </w:r>
      <w:r>
        <w:rPr>
          <w:rFonts w:eastAsia="黑体"/>
          <w:color w:val="000000"/>
          <w:sz w:val="32"/>
          <w:szCs w:val="32"/>
        </w:rPr>
        <w:t>、【不良反应】项下修改为</w:t>
      </w:r>
    </w:p>
    <w:p w:rsidR="00000000" w:rsidRDefault="00086338" w:rsidP="00B14984">
      <w:pPr>
        <w:overflowPunct w:val="0"/>
        <w:adjustRightInd w:val="0"/>
        <w:spacing w:line="59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免疫疾病及感染：</w:t>
      </w:r>
      <w:r>
        <w:rPr>
          <w:rFonts w:eastAsia="仿宋_GB2312"/>
          <w:color w:val="000000"/>
          <w:kern w:val="0"/>
          <w:sz w:val="32"/>
          <w:szCs w:val="32"/>
        </w:rPr>
        <w:t>过敏反应、过敏样反应、过敏性休克</w:t>
      </w:r>
    </w:p>
    <w:p w:rsidR="00000000" w:rsidRDefault="00086338" w:rsidP="00B14984">
      <w:pPr>
        <w:overflowPunct w:val="0"/>
        <w:adjustRightInd w:val="0"/>
        <w:spacing w:line="590" w:lineRule="exact"/>
        <w:ind w:firstLineChars="200" w:firstLine="643"/>
        <w:contextualSpacing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全身性损害：</w:t>
      </w:r>
      <w:r>
        <w:rPr>
          <w:rFonts w:eastAsia="仿宋_GB2312"/>
          <w:kern w:val="0"/>
          <w:sz w:val="32"/>
          <w:szCs w:val="32"/>
        </w:rPr>
        <w:t>胸闷、乏力、体温过低、水肿（口腔水肿、眶周水肿、面部水肿、下肢及踝部水肿）、寒战、发热。</w:t>
      </w:r>
    </w:p>
    <w:p w:rsidR="00000000" w:rsidRDefault="00086338" w:rsidP="00B14984">
      <w:pPr>
        <w:overflowPunct w:val="0"/>
        <w:adjustRightInd w:val="0"/>
        <w:spacing w:line="59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呼吸系统疾病：</w:t>
      </w:r>
      <w:r>
        <w:rPr>
          <w:rFonts w:eastAsia="仿宋_GB2312"/>
          <w:color w:val="000000"/>
          <w:kern w:val="0"/>
          <w:sz w:val="32"/>
          <w:szCs w:val="32"/>
        </w:rPr>
        <w:t>呼吸困难、呼吸急促、喉头水肿</w:t>
      </w:r>
    </w:p>
    <w:p w:rsidR="00000000" w:rsidRDefault="00086338" w:rsidP="00B14984">
      <w:pPr>
        <w:overflowPunct w:val="0"/>
        <w:adjustRightInd w:val="0"/>
        <w:spacing w:line="59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  <w:u w:val="single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心血管系统：</w:t>
      </w:r>
      <w:r>
        <w:rPr>
          <w:rFonts w:eastAsia="仿宋_GB2312"/>
          <w:color w:val="000000"/>
          <w:kern w:val="0"/>
          <w:sz w:val="32"/>
          <w:szCs w:val="32"/>
        </w:rPr>
        <w:t>心律不齐、血压降低（低血压、休克样症状）、休克、心悸、胸痛、高血压、心脏病发作、潮红</w:t>
      </w:r>
    </w:p>
    <w:p w:rsidR="00000000" w:rsidRDefault="00086338" w:rsidP="00B14984">
      <w:pPr>
        <w:overflowPunct w:val="0"/>
        <w:adjustRightInd w:val="0"/>
        <w:spacing w:line="59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血液系统</w:t>
      </w:r>
      <w:r>
        <w:rPr>
          <w:rFonts w:eastAsia="仿宋_GB2312"/>
          <w:color w:val="000000"/>
          <w:kern w:val="0"/>
          <w:sz w:val="32"/>
          <w:szCs w:val="32"/>
        </w:rPr>
        <w:t>：粒细胞减少、血小板减少</w:t>
      </w:r>
    </w:p>
    <w:p w:rsidR="00000000" w:rsidRDefault="00086338" w:rsidP="00B14984">
      <w:pPr>
        <w:overflowPunct w:val="0"/>
        <w:adjustRightInd w:val="0"/>
        <w:spacing w:line="59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皮肤及皮肤附件疾病：</w:t>
      </w:r>
      <w:r>
        <w:rPr>
          <w:rFonts w:eastAsia="仿宋_GB2312"/>
          <w:color w:val="000000"/>
          <w:kern w:val="0"/>
          <w:sz w:val="32"/>
          <w:szCs w:val="32"/>
        </w:rPr>
        <w:t>瘙痒、皮疹、斑丘疹、水疱疹、固定型药疹、剥脱性皮炎、出汗增加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lastRenderedPageBreak/>
        <w:t>消化系统</w:t>
      </w:r>
      <w:r>
        <w:rPr>
          <w:rFonts w:eastAsia="仿宋_GB2312"/>
          <w:color w:val="000000"/>
          <w:kern w:val="0"/>
          <w:sz w:val="32"/>
          <w:szCs w:val="32"/>
        </w:rPr>
        <w:t>：胃不适、胃灼热、食欲不振、反酸、恶心、呕吐、胃痛、腹泻、黑便。少数可出现溃疡、出血、穿孔；少见的有肝酶一过性升高，黄疸。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神经系统疾病</w:t>
      </w:r>
      <w:r>
        <w:rPr>
          <w:rFonts w:eastAsia="仿宋_GB2312"/>
          <w:color w:val="000000"/>
          <w:kern w:val="0"/>
          <w:sz w:val="32"/>
          <w:szCs w:val="32"/>
        </w:rPr>
        <w:t>：头痛、头晕、眩晕、</w:t>
      </w:r>
      <w:r>
        <w:rPr>
          <w:rFonts w:eastAsia="仿宋_GB2312"/>
          <w:color w:val="000000"/>
          <w:kern w:val="0"/>
          <w:sz w:val="32"/>
          <w:szCs w:val="32"/>
        </w:rPr>
        <w:t>嗜睡、疲劳、兴奋、麻木、震颤、视觉障碍。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泌尿系统</w:t>
      </w:r>
      <w:r>
        <w:rPr>
          <w:rFonts w:eastAsia="仿宋_GB2312"/>
          <w:color w:val="000000"/>
          <w:kern w:val="0"/>
          <w:sz w:val="32"/>
          <w:szCs w:val="32"/>
        </w:rPr>
        <w:t>：肾性水肿、少尿、电解质紊乱等严重肾不良反应。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3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b/>
          <w:color w:val="000000"/>
          <w:kern w:val="0"/>
          <w:sz w:val="32"/>
          <w:szCs w:val="32"/>
        </w:rPr>
        <w:t>其他</w:t>
      </w:r>
      <w:r>
        <w:rPr>
          <w:rFonts w:eastAsia="仿宋_GB2312"/>
          <w:color w:val="000000"/>
          <w:kern w:val="0"/>
          <w:sz w:val="32"/>
          <w:szCs w:val="32"/>
        </w:rPr>
        <w:t>：视力异常、用药部位刺激、用药部位烧灼。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四、【禁忌】项下修改为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已知对本品过敏的患者。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服用阿司匹林或其他非甾体类抗炎药后诱发哮喘、荨麻疹或过敏反应的患者。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禁用于冠状动脉搭桥手术（</w:t>
      </w:r>
      <w:r>
        <w:rPr>
          <w:rFonts w:eastAsia="仿宋_GB2312"/>
          <w:color w:val="000000"/>
          <w:kern w:val="0"/>
          <w:sz w:val="32"/>
          <w:szCs w:val="32"/>
        </w:rPr>
        <w:t>CABG</w:t>
      </w:r>
      <w:r>
        <w:rPr>
          <w:rFonts w:eastAsia="仿宋_GB2312"/>
          <w:color w:val="000000"/>
          <w:kern w:val="0"/>
          <w:sz w:val="32"/>
          <w:szCs w:val="32"/>
        </w:rPr>
        <w:t>）围手术期疼痛的治疗。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有应用非甾体抗炎药后发生胃肠道出血或穿孔病史的患者。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有活动性消化道溃疡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出血，或者既往曾复发溃疡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出血的患者。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重度心力衰竭患者。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五、【注意事项】修改为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本品可致严重过敏反应（包括过敏性休克），给药期间应对患者密切观察，一旦出现过敏反应或其他严重不良反应须立即停药并及时救治。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2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本品可致患者虚脱，血压下降，给药期间应对患者密切观察，必要时及时救治。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3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避免与其它非甾体抗炎药，包括选择性</w:t>
      </w:r>
      <w:r>
        <w:rPr>
          <w:rFonts w:eastAsia="仿宋_GB2312"/>
          <w:color w:val="000000"/>
          <w:kern w:val="0"/>
          <w:sz w:val="32"/>
          <w:szCs w:val="32"/>
        </w:rPr>
        <w:t>COX-2</w:t>
      </w:r>
      <w:r>
        <w:rPr>
          <w:rFonts w:eastAsia="仿宋_GB2312"/>
          <w:color w:val="000000"/>
          <w:kern w:val="0"/>
          <w:sz w:val="32"/>
          <w:szCs w:val="32"/>
        </w:rPr>
        <w:t>抑制剂合并用药。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4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根据控制症状的需要，在最短治疗时间内使用最低有效剂量，可以使不良反应降到最低。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5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在使用所有非甾体抗炎药治疗过程中的任何时候，都可能出现胃肠道出血、溃疡和穿孔的不良反应，其风险可能是致命的。这些不良反应可能伴有或不伴有警示症状</w:t>
      </w:r>
      <w:r>
        <w:rPr>
          <w:rFonts w:eastAsia="仿宋_GB2312"/>
          <w:color w:val="000000"/>
          <w:kern w:val="0"/>
          <w:sz w:val="32"/>
          <w:szCs w:val="32"/>
        </w:rPr>
        <w:t>，也无论患者是否有胃肠道不良反应史或严重的胃肠事件病史。既往有胃肠道病史（溃疡性大肠炎，克隆氏病）的患者应谨慎使用非甾体抗炎药，以免病情恶化。当患者服用该药发生胃肠道出血或溃疡时，应停药。老年患者使用非甾体抗炎药出现不良反应的频率增加，尤其是胃肠道出血和穿孔，其风险可能是致命的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6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针对多种</w:t>
      </w:r>
      <w:r>
        <w:rPr>
          <w:rFonts w:eastAsia="仿宋_GB2312"/>
          <w:color w:val="000000"/>
          <w:kern w:val="0"/>
          <w:sz w:val="32"/>
          <w:szCs w:val="32"/>
        </w:rPr>
        <w:t>COX-2</w:t>
      </w:r>
      <w:r>
        <w:rPr>
          <w:rFonts w:eastAsia="仿宋_GB2312"/>
          <w:color w:val="000000"/>
          <w:kern w:val="0"/>
          <w:sz w:val="32"/>
          <w:szCs w:val="32"/>
        </w:rPr>
        <w:t>选择性或非选择性</w:t>
      </w:r>
      <w:r>
        <w:rPr>
          <w:rFonts w:eastAsia="仿宋_GB2312"/>
          <w:color w:val="000000"/>
          <w:kern w:val="0"/>
          <w:sz w:val="32"/>
          <w:szCs w:val="32"/>
        </w:rPr>
        <w:t>NSAIDs</w:t>
      </w:r>
      <w:r>
        <w:rPr>
          <w:rFonts w:eastAsia="仿宋_GB2312"/>
          <w:color w:val="000000"/>
          <w:kern w:val="0"/>
          <w:sz w:val="32"/>
          <w:szCs w:val="32"/>
        </w:rPr>
        <w:t>药物持续时间达</w:t>
      </w:r>
      <w:r>
        <w:rPr>
          <w:rFonts w:eastAsia="仿宋_GB2312"/>
          <w:color w:val="000000"/>
          <w:kern w:val="0"/>
          <w:sz w:val="32"/>
          <w:szCs w:val="32"/>
        </w:rPr>
        <w:t>3</w:t>
      </w:r>
      <w:r>
        <w:rPr>
          <w:rFonts w:eastAsia="仿宋_GB2312"/>
          <w:color w:val="000000"/>
          <w:kern w:val="0"/>
          <w:sz w:val="32"/>
          <w:szCs w:val="32"/>
        </w:rPr>
        <w:t>年的临床试验显示，本品可能引起严重心血管血栓性不良事件、心肌梗塞和中风的风险增加，其风险可能是致命的。所有的</w:t>
      </w:r>
      <w:r>
        <w:rPr>
          <w:rFonts w:eastAsia="仿宋_GB2312"/>
          <w:color w:val="000000"/>
          <w:kern w:val="0"/>
          <w:sz w:val="32"/>
          <w:szCs w:val="32"/>
        </w:rPr>
        <w:t>NSAIDs</w:t>
      </w:r>
      <w:r>
        <w:rPr>
          <w:rFonts w:eastAsia="仿宋_GB2312"/>
          <w:color w:val="000000"/>
          <w:kern w:val="0"/>
          <w:sz w:val="32"/>
          <w:szCs w:val="32"/>
        </w:rPr>
        <w:t>，包括</w:t>
      </w:r>
      <w:r>
        <w:rPr>
          <w:rFonts w:eastAsia="仿宋_GB2312"/>
          <w:color w:val="000000"/>
          <w:kern w:val="0"/>
          <w:sz w:val="32"/>
          <w:szCs w:val="32"/>
        </w:rPr>
        <w:t>COX-2</w:t>
      </w:r>
      <w:r>
        <w:rPr>
          <w:rFonts w:eastAsia="仿宋_GB2312"/>
          <w:color w:val="000000"/>
          <w:kern w:val="0"/>
          <w:sz w:val="32"/>
          <w:szCs w:val="32"/>
        </w:rPr>
        <w:t>选择性或非选择性药物，可能</w:t>
      </w:r>
      <w:r>
        <w:rPr>
          <w:rFonts w:eastAsia="仿宋_GB2312"/>
          <w:color w:val="000000"/>
          <w:kern w:val="0"/>
          <w:sz w:val="32"/>
          <w:szCs w:val="32"/>
        </w:rPr>
        <w:t>有相似的风险。有心血管疾病或心血管疾病危险因素的患者，其风险更大。即使既往没有心血管症状，医生和患者也应对此类事件的发生保持警惕。应告知患者严重心血管安全性的症状和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或体征以及如果发生应采取的步骤。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患者应该警惕诸如胸痛、气短、无力、言语含糊等症状和体征，而且当有任何上述症状或体征发生后应该马上寻求医生帮助。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lastRenderedPageBreak/>
        <w:t>7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和所有非甾体抗炎药（</w:t>
      </w:r>
      <w:r>
        <w:rPr>
          <w:rFonts w:eastAsia="仿宋_GB2312"/>
          <w:color w:val="000000"/>
          <w:kern w:val="0"/>
          <w:sz w:val="32"/>
          <w:szCs w:val="32"/>
        </w:rPr>
        <w:t>NSAIDs</w:t>
      </w:r>
      <w:r>
        <w:rPr>
          <w:rFonts w:eastAsia="仿宋_GB2312"/>
          <w:color w:val="000000"/>
          <w:kern w:val="0"/>
          <w:sz w:val="32"/>
          <w:szCs w:val="32"/>
        </w:rPr>
        <w:t>）一样，本品可导致新发高血压或使已有的高血压症状加重，其中的任何一种都可导致心血管事件的发生率增加。服用噻嗪类或髓袢利尿剂的患者服用非甾体抗炎药（</w:t>
      </w:r>
      <w:r>
        <w:rPr>
          <w:rFonts w:eastAsia="仿宋_GB2312"/>
          <w:color w:val="000000"/>
          <w:kern w:val="0"/>
          <w:sz w:val="32"/>
          <w:szCs w:val="32"/>
        </w:rPr>
        <w:t>NSAIDs</w:t>
      </w:r>
      <w:r>
        <w:rPr>
          <w:rFonts w:eastAsia="仿宋_GB2312"/>
          <w:color w:val="000000"/>
          <w:kern w:val="0"/>
          <w:sz w:val="32"/>
          <w:szCs w:val="32"/>
        </w:rPr>
        <w:t>）时</w:t>
      </w:r>
      <w:r>
        <w:rPr>
          <w:rFonts w:eastAsia="仿宋_GB2312"/>
          <w:color w:val="000000"/>
          <w:kern w:val="0"/>
          <w:sz w:val="32"/>
          <w:szCs w:val="32"/>
        </w:rPr>
        <w:t>，可能会影响这些药物的疗效。高血压病患者应慎用非甾体抗炎药（</w:t>
      </w:r>
      <w:r>
        <w:rPr>
          <w:rFonts w:eastAsia="仿宋_GB2312"/>
          <w:color w:val="000000"/>
          <w:kern w:val="0"/>
          <w:sz w:val="32"/>
          <w:szCs w:val="32"/>
        </w:rPr>
        <w:t>NSAIDs</w:t>
      </w:r>
      <w:r>
        <w:rPr>
          <w:rFonts w:eastAsia="仿宋_GB2312"/>
          <w:color w:val="000000"/>
          <w:kern w:val="0"/>
          <w:sz w:val="32"/>
          <w:szCs w:val="32"/>
        </w:rPr>
        <w:t>），包括本品。在开始本品治疗和整个治疗过程中应密切监测血压。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8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有高血压和</w:t>
      </w:r>
      <w:r>
        <w:rPr>
          <w:rFonts w:eastAsia="仿宋_GB2312"/>
          <w:color w:val="000000"/>
          <w:kern w:val="0"/>
          <w:sz w:val="32"/>
          <w:szCs w:val="32"/>
        </w:rPr>
        <w:t>/</w:t>
      </w:r>
      <w:r>
        <w:rPr>
          <w:rFonts w:eastAsia="仿宋_GB2312"/>
          <w:color w:val="000000"/>
          <w:kern w:val="0"/>
          <w:sz w:val="32"/>
          <w:szCs w:val="32"/>
        </w:rPr>
        <w:t>或心力衰竭（如液体潴留和水肿）病史的患者应慎用。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9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NSAIDs</w:t>
      </w:r>
      <w:r>
        <w:rPr>
          <w:rFonts w:eastAsia="仿宋_GB2312"/>
          <w:color w:val="000000"/>
          <w:kern w:val="0"/>
          <w:sz w:val="32"/>
          <w:szCs w:val="32"/>
        </w:rPr>
        <w:t>，包括本品可能引起致命的、严重的皮肤不良反应，例如剥脱性皮炎、</w:t>
      </w:r>
      <w:r>
        <w:rPr>
          <w:rFonts w:eastAsia="仿宋_GB2312"/>
          <w:color w:val="000000"/>
          <w:kern w:val="0"/>
          <w:sz w:val="32"/>
          <w:szCs w:val="32"/>
        </w:rPr>
        <w:t>stevens johnson</w:t>
      </w:r>
      <w:r>
        <w:rPr>
          <w:rFonts w:eastAsia="仿宋_GB2312"/>
          <w:color w:val="000000"/>
          <w:kern w:val="0"/>
          <w:sz w:val="32"/>
          <w:szCs w:val="32"/>
        </w:rPr>
        <w:t>综合征（</w:t>
      </w:r>
      <w:r>
        <w:rPr>
          <w:rFonts w:eastAsia="仿宋_GB2312"/>
          <w:color w:val="000000"/>
          <w:kern w:val="0"/>
          <w:sz w:val="32"/>
          <w:szCs w:val="32"/>
        </w:rPr>
        <w:t>SJS</w:t>
      </w:r>
      <w:r>
        <w:rPr>
          <w:rFonts w:eastAsia="仿宋_GB2312"/>
          <w:color w:val="000000"/>
          <w:kern w:val="0"/>
          <w:sz w:val="32"/>
          <w:szCs w:val="32"/>
        </w:rPr>
        <w:t>）和中毒性表皮坏死溶解症（</w:t>
      </w:r>
      <w:r>
        <w:rPr>
          <w:rFonts w:eastAsia="仿宋_GB2312"/>
          <w:color w:val="000000"/>
          <w:kern w:val="0"/>
          <w:sz w:val="32"/>
          <w:szCs w:val="32"/>
        </w:rPr>
        <w:t>TEN</w:t>
      </w:r>
      <w:r>
        <w:rPr>
          <w:rFonts w:eastAsia="仿宋_GB2312"/>
          <w:color w:val="000000"/>
          <w:kern w:val="0"/>
          <w:sz w:val="32"/>
          <w:szCs w:val="32"/>
        </w:rPr>
        <w:t>）。这些严重事件可在没有征兆的情况下出现。应告知患者严重皮肤反应的症状和体征，在第一次出现皮肤皮疹或过敏反应的其他征象时，应停用本品。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10</w:t>
      </w:r>
      <w:r>
        <w:rPr>
          <w:rFonts w:eastAsia="仿宋_GB2312" w:hint="eastAsia"/>
          <w:color w:val="000000"/>
          <w:kern w:val="0"/>
          <w:sz w:val="32"/>
          <w:szCs w:val="32"/>
        </w:rPr>
        <w:t>.</w:t>
      </w:r>
      <w:r>
        <w:rPr>
          <w:rFonts w:eastAsia="仿宋_GB2312"/>
          <w:color w:val="000000"/>
          <w:kern w:val="0"/>
          <w:sz w:val="32"/>
          <w:szCs w:val="32"/>
        </w:rPr>
        <w:t>如果使</w:t>
      </w:r>
      <w:r>
        <w:rPr>
          <w:rFonts w:eastAsia="仿宋_GB2312"/>
          <w:color w:val="000000"/>
          <w:kern w:val="0"/>
          <w:sz w:val="32"/>
          <w:szCs w:val="32"/>
        </w:rPr>
        <w:t>用本品出现头晕、头痛、眩晕、嗜睡、疲劳、震颤、视觉障碍等反应时，不得驾驶。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六、【孕妇及哺乳期妇女用药】修改为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孕妇慎用，哺乳期妇女禁用。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t>七、【儿童用药】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武汉正同药业（</w:t>
      </w:r>
      <w:r>
        <w:rPr>
          <w:rFonts w:eastAsia="仿宋_GB2312"/>
          <w:color w:val="000000"/>
          <w:kern w:val="0"/>
          <w:sz w:val="32"/>
          <w:szCs w:val="32"/>
        </w:rPr>
        <w:t>50mg</w:t>
      </w:r>
      <w:r>
        <w:rPr>
          <w:rFonts w:eastAsia="仿宋_GB2312"/>
          <w:color w:val="000000"/>
          <w:kern w:val="0"/>
          <w:sz w:val="32"/>
          <w:szCs w:val="32"/>
        </w:rPr>
        <w:t>规格）删除涉及儿童的用法用量。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本品</w:t>
      </w:r>
      <w:r>
        <w:rPr>
          <w:rFonts w:eastAsia="仿宋_GB2312"/>
          <w:color w:val="000000"/>
          <w:kern w:val="0"/>
          <w:sz w:val="32"/>
          <w:szCs w:val="32"/>
        </w:rPr>
        <w:t>50mg</w:t>
      </w:r>
      <w:r>
        <w:rPr>
          <w:rFonts w:eastAsia="仿宋_GB2312"/>
          <w:color w:val="000000"/>
          <w:kern w:val="0"/>
          <w:sz w:val="32"/>
          <w:szCs w:val="32"/>
        </w:rPr>
        <w:t>规格【儿童用药】修改为：本品未开展系统性研究，不建议儿童使用。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本品</w:t>
      </w:r>
      <w:r>
        <w:rPr>
          <w:rFonts w:eastAsia="仿宋_GB2312"/>
          <w:color w:val="000000"/>
          <w:kern w:val="0"/>
          <w:sz w:val="32"/>
          <w:szCs w:val="32"/>
        </w:rPr>
        <w:t>12.5mg</w:t>
      </w:r>
      <w:r>
        <w:rPr>
          <w:rFonts w:eastAsia="仿宋_GB2312"/>
          <w:color w:val="000000"/>
          <w:kern w:val="0"/>
          <w:sz w:val="32"/>
          <w:szCs w:val="32"/>
        </w:rPr>
        <w:t>规格【儿童用药】修改为：安全性信息参见不良反应项及注意事项等。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黑体"/>
          <w:color w:val="000000"/>
          <w:kern w:val="0"/>
          <w:sz w:val="32"/>
          <w:szCs w:val="32"/>
        </w:rPr>
      </w:pPr>
      <w:r>
        <w:rPr>
          <w:rFonts w:eastAsia="黑体"/>
          <w:color w:val="000000"/>
          <w:kern w:val="0"/>
          <w:sz w:val="32"/>
          <w:szCs w:val="32"/>
        </w:rPr>
        <w:lastRenderedPageBreak/>
        <w:t>八、【老年用药】修改为</w:t>
      </w:r>
    </w:p>
    <w:p w:rsidR="00000000" w:rsidRDefault="00086338" w:rsidP="00B14984">
      <w:pPr>
        <w:overflowPunct w:val="0"/>
        <w:adjustRightInd w:val="0"/>
        <w:spacing w:line="560" w:lineRule="exact"/>
        <w:ind w:firstLineChars="200" w:firstLine="640"/>
        <w:contextualSpacing/>
        <w:rPr>
          <w:rFonts w:eastAsia="仿宋_GB2312"/>
          <w:color w:val="000000"/>
          <w:kern w:val="0"/>
          <w:sz w:val="32"/>
          <w:szCs w:val="32"/>
        </w:rPr>
      </w:pPr>
      <w:r>
        <w:rPr>
          <w:rFonts w:eastAsia="仿宋_GB2312"/>
          <w:color w:val="000000"/>
          <w:kern w:val="0"/>
          <w:sz w:val="32"/>
          <w:szCs w:val="32"/>
        </w:rPr>
        <w:t>宜减量使用，用药期间应常规随访检查肝肾功能。</w:t>
      </w:r>
    </w:p>
    <w:p w:rsidR="00000000" w:rsidRDefault="00086338" w:rsidP="00B14984">
      <w:pPr>
        <w:overflowPunct w:val="0"/>
        <w:spacing w:line="560" w:lineRule="exact"/>
        <w:rPr>
          <w:rFonts w:eastAsia="仿宋_GB2312"/>
          <w:sz w:val="32"/>
          <w:szCs w:val="32"/>
        </w:rPr>
      </w:pPr>
    </w:p>
    <w:p w:rsidR="00000000" w:rsidRDefault="00086338" w:rsidP="00B14984">
      <w:pPr>
        <w:overflowPunct w:val="0"/>
        <w:autoSpaceDE w:val="0"/>
        <w:autoSpaceDN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（注：说明书其他内容如与上述修订要求不一致的，应当一并进行修订。）</w:t>
      </w:r>
    </w:p>
    <w:p w:rsidR="00000000" w:rsidRDefault="00086338" w:rsidP="00B14984">
      <w:pPr>
        <w:overflowPunct w:val="0"/>
        <w:rPr>
          <w:rFonts w:eastAsia="仿宋_GB2312"/>
          <w:sz w:val="32"/>
          <w:szCs w:val="32"/>
        </w:rPr>
      </w:pPr>
    </w:p>
    <w:p w:rsidR="00086338" w:rsidRDefault="00086338" w:rsidP="00B14984">
      <w:pPr>
        <w:overflowPunct w:val="0"/>
        <w:spacing w:line="500" w:lineRule="exact"/>
        <w:rPr>
          <w:rFonts w:eastAsia="仿宋_GB2312" w:hint="eastAsia"/>
          <w:sz w:val="28"/>
          <w:szCs w:val="28"/>
        </w:rPr>
      </w:pPr>
      <w:bookmarkStart w:id="0" w:name="_GoBack"/>
      <w:bookmarkEnd w:id="0"/>
    </w:p>
    <w:sectPr w:rsidR="00086338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338" w:rsidRDefault="00086338">
      <w:r>
        <w:separator/>
      </w:r>
    </w:p>
  </w:endnote>
  <w:endnote w:type="continuationSeparator" w:id="0">
    <w:p w:rsidR="00086338" w:rsidRDefault="00086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0F0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-294640</wp:posOffset>
              </wp:positionV>
              <wp:extent cx="978535" cy="230505"/>
              <wp:effectExtent l="635" t="1905" r="1905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85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6338">
                          <w:pPr>
                            <w:pStyle w:val="a6"/>
                          </w:pPr>
                          <w:r w:rsidRPr="00B149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F0D">
                            <w:rPr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B149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-23.2pt;width:77.05pt;height:18.15pt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" filled="f" stroked="f">
              <v:textbox style="mso-fit-shape-to-text:t" inset="0,0,0,0">
                <w:txbxContent>
                  <w:p w:rsidR="00000000" w:rsidRDefault="00086338">
                    <w:pPr>
                      <w:pStyle w:val="a6"/>
                    </w:pPr>
                    <w:r w:rsidRPr="00B149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F0F0D">
                      <w:rPr>
                        <w:noProof/>
                        <w:sz w:val="28"/>
                        <w:szCs w:val="28"/>
                      </w:rPr>
                      <w:t>2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B149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9F0F0D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4815840</wp:posOffset>
              </wp:positionH>
              <wp:positionV relativeFrom="paragraph">
                <wp:posOffset>-294640</wp:posOffset>
              </wp:positionV>
              <wp:extent cx="800735" cy="230505"/>
              <wp:effectExtent l="0" t="1905" r="254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7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086338">
                          <w:pPr>
                            <w:pStyle w:val="a6"/>
                          </w:pP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</w:instrTex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MERGEFORMAT </w:instrTex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9F0F0D">
                            <w:rPr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B14984"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 w:rsidRPr="00B14984"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379.2pt;margin-top:-23.2pt;width:63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" filled="f" stroked="f">
              <v:textbox style="mso-fit-shape-to-text:t" inset="0,0,0,0">
                <w:txbxContent>
                  <w:p w:rsidR="00000000" w:rsidRDefault="00086338">
                    <w:pPr>
                      <w:pStyle w:val="a6"/>
                    </w:pPr>
                    <w:r w:rsidRPr="00B149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instrText xml:space="preserve"> PAGE  \*</w:instrTex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instrText xml:space="preserve"> MERGEFORMAT </w:instrTex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9F0F0D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 w:rsidRPr="00B14984"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 w:rsidRPr="00B14984"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338" w:rsidRDefault="00086338">
      <w:r>
        <w:separator/>
      </w:r>
    </w:p>
  </w:footnote>
  <w:footnote w:type="continuationSeparator" w:id="0">
    <w:p w:rsidR="00086338" w:rsidRDefault="00086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readOnly" w:enforcement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86338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F2CC3"/>
    <w:rsid w:val="00323910"/>
    <w:rsid w:val="003330A7"/>
    <w:rsid w:val="0035031B"/>
    <w:rsid w:val="00351116"/>
    <w:rsid w:val="00352FFE"/>
    <w:rsid w:val="0036326B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B0317"/>
    <w:rsid w:val="009D7C65"/>
    <w:rsid w:val="009F0F0D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4984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1BB1172"/>
    <w:rsid w:val="0BBC332D"/>
    <w:rsid w:val="0BEC7EA0"/>
    <w:rsid w:val="0FD06DBC"/>
    <w:rsid w:val="100F7C7C"/>
    <w:rsid w:val="16BA30C6"/>
    <w:rsid w:val="1B6724EA"/>
    <w:rsid w:val="20570957"/>
    <w:rsid w:val="206A68ED"/>
    <w:rsid w:val="24B43254"/>
    <w:rsid w:val="25E54A02"/>
    <w:rsid w:val="26575A69"/>
    <w:rsid w:val="276F1CD1"/>
    <w:rsid w:val="2A3D0430"/>
    <w:rsid w:val="2D71138F"/>
    <w:rsid w:val="2EFB02FE"/>
    <w:rsid w:val="327914CE"/>
    <w:rsid w:val="35D20720"/>
    <w:rsid w:val="393B7C69"/>
    <w:rsid w:val="3CED29EA"/>
    <w:rsid w:val="3FFE62DB"/>
    <w:rsid w:val="408A6ED9"/>
    <w:rsid w:val="43717690"/>
    <w:rsid w:val="44191483"/>
    <w:rsid w:val="48A16331"/>
    <w:rsid w:val="4B46584D"/>
    <w:rsid w:val="4B6F6A44"/>
    <w:rsid w:val="51F734D7"/>
    <w:rsid w:val="591D3208"/>
    <w:rsid w:val="61E95B9F"/>
    <w:rsid w:val="62282AC4"/>
    <w:rsid w:val="63046E34"/>
    <w:rsid w:val="63E446CD"/>
    <w:rsid w:val="64701485"/>
    <w:rsid w:val="64A25CA4"/>
    <w:rsid w:val="6D34475D"/>
    <w:rsid w:val="72B342E4"/>
    <w:rsid w:val="737E6542"/>
    <w:rsid w:val="75F312F0"/>
    <w:rsid w:val="77FD5681"/>
    <w:rsid w:val="783277FC"/>
    <w:rsid w:val="7FEFBA5F"/>
    <w:rsid w:val="9FF998DE"/>
    <w:rsid w:val="BFF3056F"/>
    <w:rsid w:val="D7F591C4"/>
    <w:rsid w:val="EB5F50C3"/>
    <w:rsid w:val="FFED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0EBE7A-6CE4-47CD-B584-AA1C4E26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basedOn w:val="a0"/>
    <w:rPr>
      <w:b w:val="0"/>
      <w:i w:val="0"/>
    </w:rPr>
  </w:style>
  <w:style w:type="character" w:customStyle="1" w:styleId="Char">
    <w:name w:val="页眉 Char"/>
    <w:link w:val="a3"/>
    <w:uiPriority w:val="99"/>
    <w:rPr>
      <w:kern w:val="2"/>
      <w:sz w:val="18"/>
      <w:szCs w:val="18"/>
    </w:rPr>
  </w:style>
  <w:style w:type="character" w:styleId="a4">
    <w:name w:val="Strong"/>
    <w:basedOn w:val="a0"/>
    <w:qFormat/>
    <w:rPr>
      <w:b w:val="0"/>
      <w:i w:val="0"/>
    </w:rPr>
  </w:style>
  <w:style w:type="character" w:customStyle="1" w:styleId="l-tab-strip-text3">
    <w:name w:val="l-tab-strip-text3"/>
    <w:basedOn w:val="a0"/>
    <w:rPr>
      <w:color w:val="15428B"/>
    </w:rPr>
  </w:style>
  <w:style w:type="character" w:styleId="HTML0">
    <w:name w:val="HTML Definition"/>
    <w:basedOn w:val="a0"/>
    <w:rPr>
      <w:b w:val="0"/>
      <w:i w:val="0"/>
    </w:rPr>
  </w:style>
  <w:style w:type="character" w:styleId="HTML1">
    <w:name w:val="HTML Cite"/>
    <w:basedOn w:val="a0"/>
    <w:rPr>
      <w:b w:val="0"/>
      <w:i w:val="0"/>
    </w:rPr>
  </w:style>
  <w:style w:type="character" w:customStyle="1" w:styleId="l-tab-strip-text2">
    <w:name w:val="l-tab-strip-text2"/>
    <w:basedOn w:val="a0"/>
  </w:style>
  <w:style w:type="character" w:customStyle="1" w:styleId="l-tab-strip-text5">
    <w:name w:val="l-tab-strip-text5"/>
    <w:basedOn w:val="a0"/>
  </w:style>
  <w:style w:type="character" w:customStyle="1" w:styleId="l-tab-strip-text4">
    <w:name w:val="l-tab-strip-text4"/>
    <w:basedOn w:val="a0"/>
    <w:rPr>
      <w:b/>
      <w:color w:val="15428B"/>
    </w:rPr>
  </w:style>
  <w:style w:type="character" w:styleId="a5">
    <w:name w:val="Emphasis"/>
    <w:basedOn w:val="a0"/>
    <w:qFormat/>
    <w:rPr>
      <w:b w:val="0"/>
      <w:i w:val="0"/>
    </w:rPr>
  </w:style>
  <w:style w:type="character" w:styleId="HTML2">
    <w:name w:val="HTML Code"/>
    <w:basedOn w:val="a0"/>
    <w:rPr>
      <w:rFonts w:ascii="Courier New" w:hAnsi="Courier New"/>
      <w:b w:val="0"/>
      <w:i w:val="0"/>
      <w:sz w:val="20"/>
    </w:rPr>
  </w:style>
  <w:style w:type="character" w:customStyle="1" w:styleId="Char0">
    <w:name w:val="页脚 Char"/>
    <w:link w:val="a6"/>
    <w:uiPriority w:val="99"/>
    <w:rPr>
      <w:kern w:val="2"/>
      <w:sz w:val="18"/>
      <w:szCs w:val="18"/>
    </w:rPr>
  </w:style>
  <w:style w:type="character" w:customStyle="1" w:styleId="l-tab-strip-text">
    <w:name w:val="l-tab-strip-text"/>
    <w:basedOn w:val="a0"/>
  </w:style>
  <w:style w:type="character" w:customStyle="1" w:styleId="l-tab-strip-text1">
    <w:name w:val="l-tab-strip-text1"/>
    <w:basedOn w:val="a0"/>
    <w:rPr>
      <w:rFonts w:ascii="Tahoma" w:eastAsia="Tahoma" w:hAnsi="Tahoma" w:cs="Tahoma"/>
      <w:i w:val="0"/>
      <w:color w:val="416AA3"/>
      <w:sz w:val="18"/>
      <w:szCs w:val="18"/>
    </w:rPr>
  </w:style>
  <w:style w:type="character" w:styleId="a7">
    <w:name w:val="page number"/>
    <w:basedOn w:val="a0"/>
  </w:style>
  <w:style w:type="paragraph" w:styleId="a8">
    <w:name w:val="Document Map"/>
    <w:basedOn w:val="a"/>
    <w:semiHidden/>
    <w:pPr>
      <w:shd w:val="clear" w:color="auto" w:fill="000080"/>
    </w:pPr>
  </w:style>
  <w:style w:type="paragraph" w:styleId="a6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3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296</Words>
  <Characters>1691</Characters>
  <Application>Microsoft Office Word</Application>
  <DocSecurity>0</DocSecurity>
  <Lines>14</Lines>
  <Paragraphs>3</Paragraphs>
  <ScaleCrop>false</ScaleCrop>
  <Company>Xtzj.Com</Company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2020-03-05T10:30:00Z</cp:lastPrinted>
  <dcterms:created xsi:type="dcterms:W3CDTF">2020-03-06T03:01:00Z</dcterms:created>
  <dcterms:modified xsi:type="dcterms:W3CDTF">2020-03-06T03:01:00Z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2052-10.1.0.7323</vt:lpwstr>
  </property>
</Properties>
</file>