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uto"/>
        <w:jc w:val="left"/>
        <w:rPr>
          <w:rFonts w:ascii="宋体" w:hAnsi="宋体"/>
        </w:rPr>
      </w:pPr>
    </w:p>
    <w:p>
      <w:pPr>
        <w:spacing w:line="480" w:lineRule="auto"/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spacing w:line="360" w:lineRule="auto"/>
        <w:rPr>
          <w:rFonts w:ascii="宋体" w:hAnsi="宋体"/>
        </w:rPr>
      </w:pPr>
    </w:p>
    <w:p>
      <w:pPr>
        <w:spacing w:line="480" w:lineRule="auto"/>
        <w:jc w:val="center"/>
        <w:rPr>
          <w:rFonts w:ascii="宋体" w:hAnsi="宋体"/>
          <w:sz w:val="84"/>
          <w:szCs w:val="84"/>
        </w:rPr>
      </w:pPr>
      <w:r>
        <w:rPr>
          <w:rFonts w:ascii="宋体" w:hAnsi="宋体"/>
          <w:sz w:val="84"/>
          <w:szCs w:val="84"/>
        </w:rPr>
        <w:t>&lt;</w:t>
      </w:r>
      <w:r>
        <w:rPr>
          <w:rFonts w:hint="eastAsia" w:ascii="宋体" w:hAnsi="宋体"/>
          <w:sz w:val="84"/>
          <w:szCs w:val="84"/>
        </w:rPr>
        <w:t>贵</w:t>
      </w:r>
      <w:bookmarkStart w:id="102" w:name="_GoBack"/>
      <w:bookmarkEnd w:id="102"/>
      <w:r>
        <w:rPr>
          <w:rFonts w:hint="eastAsia" w:ascii="宋体" w:hAnsi="宋体"/>
          <w:sz w:val="84"/>
          <w:szCs w:val="84"/>
        </w:rPr>
        <w:t>州省高值医用耗材集中采购系统</w:t>
      </w:r>
      <w:r>
        <w:rPr>
          <w:rFonts w:ascii="宋体" w:hAnsi="宋体"/>
          <w:sz w:val="84"/>
          <w:szCs w:val="84"/>
        </w:rPr>
        <w:t>&gt;</w:t>
      </w:r>
    </w:p>
    <w:p>
      <w:pPr>
        <w:tabs>
          <w:tab w:val="left" w:pos="2760"/>
        </w:tabs>
        <w:spacing w:line="480" w:lineRule="auto"/>
        <w:jc w:val="center"/>
        <w:rPr>
          <w:rFonts w:ascii="宋体" w:hAnsi="宋体"/>
          <w:sz w:val="72"/>
          <w:szCs w:val="72"/>
        </w:rPr>
      </w:pPr>
      <w:r>
        <w:rPr>
          <w:rFonts w:hint="eastAsia" w:ascii="宋体" w:hAnsi="宋体"/>
          <w:sz w:val="72"/>
          <w:szCs w:val="72"/>
        </w:rPr>
        <w:t>&lt;交易、配送系统生产企业操作指南&gt;</w:t>
      </w:r>
      <w:r>
        <w:rPr>
          <w:rFonts w:ascii="宋体" w:hAnsi="宋体"/>
          <w:sz w:val="72"/>
          <w:szCs w:val="72"/>
        </w:rPr>
        <w:tab/>
      </w:r>
    </w:p>
    <w:p>
      <w:pPr>
        <w:tabs>
          <w:tab w:val="left" w:pos="2760"/>
        </w:tabs>
        <w:spacing w:line="480" w:lineRule="auto"/>
        <w:jc w:val="center"/>
        <w:rPr>
          <w:rFonts w:ascii="宋体" w:hAnsi="宋体"/>
          <w:sz w:val="72"/>
          <w:szCs w:val="72"/>
        </w:rPr>
      </w:pPr>
    </w:p>
    <w:p>
      <w:pPr>
        <w:tabs>
          <w:tab w:val="left" w:pos="2760"/>
        </w:tabs>
        <w:spacing w:line="480" w:lineRule="auto"/>
        <w:jc w:val="center"/>
        <w:rPr>
          <w:rFonts w:ascii="宋体" w:hAnsi="宋体"/>
          <w:sz w:val="52"/>
          <w:szCs w:val="52"/>
        </w:rPr>
      </w:pPr>
      <w:r>
        <w:rPr>
          <w:rFonts w:ascii="宋体" w:hAnsi="宋体"/>
          <w:sz w:val="52"/>
          <w:szCs w:val="52"/>
        </w:rPr>
        <w:t>&lt;</w:t>
      </w:r>
      <w:r>
        <w:rPr>
          <w:rFonts w:hint="eastAsia" w:ascii="宋体" w:hAnsi="宋体"/>
          <w:sz w:val="52"/>
          <w:szCs w:val="52"/>
        </w:rPr>
        <w:t>V2.0</w:t>
      </w:r>
      <w:r>
        <w:rPr>
          <w:rFonts w:ascii="宋体" w:hAnsi="宋体"/>
          <w:sz w:val="52"/>
          <w:szCs w:val="52"/>
        </w:rPr>
        <w:t>&gt;</w:t>
      </w:r>
    </w:p>
    <w:p>
      <w:pPr>
        <w:rPr>
          <w:rFonts w:ascii="宋体" w:hAnsi="宋体"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rFonts w:ascii="宋体" w:hAnsi="宋体"/>
          <w:b/>
          <w:kern w:val="44"/>
          <w:sz w:val="44"/>
        </w:rPr>
      </w:pPr>
      <w:r>
        <w:rPr>
          <w:rFonts w:ascii="宋体" w:hAnsi="宋体"/>
          <w:b/>
          <w:kern w:val="44"/>
          <w:sz w:val="44"/>
        </w:rPr>
        <w:t>目</w:t>
      </w:r>
      <w:r>
        <w:rPr>
          <w:rFonts w:hint="eastAsia" w:ascii="宋体" w:hAnsi="宋体"/>
          <w:b/>
          <w:kern w:val="44"/>
          <w:sz w:val="44"/>
        </w:rPr>
        <w:t xml:space="preserve"> </w:t>
      </w:r>
      <w:r>
        <w:rPr>
          <w:rFonts w:ascii="宋体" w:hAnsi="宋体"/>
          <w:b/>
          <w:kern w:val="44"/>
          <w:sz w:val="44"/>
        </w:rPr>
        <w:t>录</w:t>
      </w:r>
    </w:p>
    <w:p>
      <w:pPr>
        <w:rPr>
          <w:rFonts w:ascii="宋体" w:hAnsi="宋体"/>
          <w:sz w:val="32"/>
          <w:szCs w:val="32"/>
        </w:rPr>
      </w:pPr>
    </w:p>
    <w:p>
      <w:pPr>
        <w:pStyle w:val="8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rPr>
          <w:rFonts w:ascii="宋体" w:hAnsi="宋体"/>
          <w:sz w:val="32"/>
          <w:szCs w:val="32"/>
        </w:rPr>
        <w:fldChar w:fldCharType="begin"/>
      </w:r>
      <w:r>
        <w:rPr>
          <w:rFonts w:ascii="宋体" w:hAnsi="宋体"/>
          <w:sz w:val="32"/>
          <w:szCs w:val="32"/>
        </w:rPr>
        <w:instrText xml:space="preserve"> TOC \o "1-3" \h \z \u </w:instrText>
      </w:r>
      <w:r>
        <w:rPr>
          <w:rFonts w:ascii="宋体" w:hAnsi="宋体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"_Toc511924565" </w:instrText>
      </w:r>
      <w:r>
        <w:fldChar w:fldCharType="separate"/>
      </w:r>
      <w:r>
        <w:rPr>
          <w:rStyle w:val="11"/>
          <w:rFonts w:hint="eastAsia" w:ascii="宋体" w:hAnsi="宋体"/>
        </w:rPr>
        <w:t>第一章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11"/>
          <w:rFonts w:hint="eastAsia" w:ascii="宋体" w:hAnsi="宋体"/>
        </w:rPr>
        <w:t>关于这本手册</w:t>
      </w:r>
      <w:r>
        <w:tab/>
      </w:r>
      <w:r>
        <w:fldChar w:fldCharType="begin"/>
      </w:r>
      <w:r>
        <w:instrText xml:space="preserve"> PAGEREF _Toc511924565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"_Toc511924566" </w:instrText>
      </w:r>
      <w:r>
        <w:fldChar w:fldCharType="separate"/>
      </w:r>
      <w:r>
        <w:rPr>
          <w:rStyle w:val="11"/>
          <w:rFonts w:hint="eastAsia" w:ascii="宋体" w:hAnsi="宋体"/>
        </w:rPr>
        <w:t>第二章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11"/>
          <w:rFonts w:hint="eastAsia" w:ascii="宋体" w:hAnsi="宋体"/>
        </w:rPr>
        <w:t>使用须知</w:t>
      </w:r>
      <w:r>
        <w:tab/>
      </w:r>
      <w:r>
        <w:fldChar w:fldCharType="begin"/>
      </w:r>
      <w:r>
        <w:instrText xml:space="preserve"> PAGEREF _Toc511924566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"_Toc511924567" </w:instrText>
      </w:r>
      <w:r>
        <w:fldChar w:fldCharType="separate"/>
      </w:r>
      <w:r>
        <w:rPr>
          <w:rStyle w:val="11"/>
          <w:rFonts w:hint="eastAsia" w:ascii="宋体" w:hAnsi="宋体"/>
        </w:rPr>
        <w:t>第三章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11"/>
          <w:rFonts w:hint="eastAsia" w:ascii="宋体" w:hAnsi="宋体"/>
        </w:rPr>
        <w:t>关于</w:t>
      </w:r>
      <w:r>
        <w:rPr>
          <w:rStyle w:val="11"/>
          <w:rFonts w:ascii="宋体" w:hAnsi="宋体"/>
        </w:rPr>
        <w:t>CA</w:t>
      </w:r>
      <w:r>
        <w:tab/>
      </w:r>
      <w:r>
        <w:fldChar w:fldCharType="begin"/>
      </w:r>
      <w:r>
        <w:instrText xml:space="preserve"> PAGEREF _Toc511924567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"_Toc511924568" </w:instrText>
      </w:r>
      <w:r>
        <w:fldChar w:fldCharType="separate"/>
      </w:r>
      <w:r>
        <w:rPr>
          <w:rStyle w:val="11"/>
          <w:rFonts w:hint="eastAsia" w:ascii="宋体" w:hAnsi="宋体"/>
        </w:rPr>
        <w:t>第四章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11"/>
          <w:rFonts w:hint="eastAsia" w:ascii="宋体" w:hAnsi="宋体"/>
        </w:rPr>
        <w:t>登录系统</w:t>
      </w:r>
      <w:r>
        <w:tab/>
      </w:r>
      <w:r>
        <w:fldChar w:fldCharType="begin"/>
      </w:r>
      <w:r>
        <w:instrText xml:space="preserve"> PAGEREF _Toc511924568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"_Toc511924572" </w:instrText>
      </w:r>
      <w:r>
        <w:fldChar w:fldCharType="separate"/>
      </w:r>
      <w:r>
        <w:rPr>
          <w:rStyle w:val="11"/>
          <w:rFonts w:ascii="宋体" w:hAnsi="宋体" w:cs="宋体"/>
        </w:rPr>
        <w:t xml:space="preserve">4.1 </w:t>
      </w:r>
      <w:r>
        <w:rPr>
          <w:rStyle w:val="11"/>
          <w:rFonts w:hint="eastAsia" w:ascii="宋体" w:hAnsi="宋体" w:cs="宋体"/>
        </w:rPr>
        <w:t>用户登录</w:t>
      </w:r>
      <w:r>
        <w:tab/>
      </w:r>
      <w:r>
        <w:fldChar w:fldCharType="begin"/>
      </w:r>
      <w:r>
        <w:instrText xml:space="preserve"> PAGEREF _Toc511924572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"_Toc511924573" </w:instrText>
      </w:r>
      <w:r>
        <w:fldChar w:fldCharType="separate"/>
      </w:r>
      <w:r>
        <w:rPr>
          <w:rStyle w:val="11"/>
          <w:rFonts w:hint="eastAsia" w:ascii="宋体" w:hAnsi="宋体"/>
        </w:rPr>
        <w:t>第五章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11"/>
          <w:rFonts w:hint="eastAsia" w:ascii="宋体" w:hAnsi="宋体"/>
        </w:rPr>
        <w:t>系统操作流程</w:t>
      </w:r>
      <w:r>
        <w:tab/>
      </w:r>
      <w:r>
        <w:fldChar w:fldCharType="begin"/>
      </w:r>
      <w:r>
        <w:instrText xml:space="preserve"> PAGEREF _Toc511924573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"_Toc511924574" </w:instrText>
      </w:r>
      <w:r>
        <w:fldChar w:fldCharType="separate"/>
      </w:r>
      <w:r>
        <w:rPr>
          <w:rStyle w:val="11"/>
          <w:rFonts w:ascii="宋体" w:hAnsi="宋体" w:cs="宋体"/>
        </w:rPr>
        <w:t xml:space="preserve">5.1 </w:t>
      </w:r>
      <w:r>
        <w:rPr>
          <w:rStyle w:val="11"/>
          <w:rFonts w:hint="eastAsia" w:ascii="宋体" w:hAnsi="宋体" w:cs="宋体"/>
        </w:rPr>
        <w:t>自配送认定</w:t>
      </w:r>
      <w:r>
        <w:tab/>
      </w:r>
      <w:r>
        <w:fldChar w:fldCharType="begin"/>
      </w:r>
      <w:r>
        <w:instrText xml:space="preserve"> PAGEREF _Toc511924574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"_Toc511924575" </w:instrText>
      </w:r>
      <w:r>
        <w:fldChar w:fldCharType="separate"/>
      </w:r>
      <w:r>
        <w:rPr>
          <w:rStyle w:val="11"/>
          <w:rFonts w:ascii="宋体" w:hAnsi="宋体"/>
        </w:rPr>
        <w:t xml:space="preserve">5.1.1  </w:t>
      </w:r>
      <w:r>
        <w:rPr>
          <w:rStyle w:val="11"/>
          <w:rFonts w:hint="eastAsia" w:ascii="宋体" w:hAnsi="宋体"/>
        </w:rPr>
        <w:t>自配送认定</w:t>
      </w:r>
      <w:r>
        <w:tab/>
      </w:r>
      <w:r>
        <w:fldChar w:fldCharType="begin"/>
      </w:r>
      <w:r>
        <w:instrText xml:space="preserve"> PAGEREF _Toc511924575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"_Toc511924576" </w:instrText>
      </w:r>
      <w:r>
        <w:fldChar w:fldCharType="separate"/>
      </w:r>
      <w:r>
        <w:rPr>
          <w:rStyle w:val="11"/>
          <w:rFonts w:ascii="宋体" w:hAnsi="宋体" w:cs="宋体"/>
        </w:rPr>
        <w:t xml:space="preserve">5.2 </w:t>
      </w:r>
      <w:r>
        <w:rPr>
          <w:rStyle w:val="11"/>
          <w:rFonts w:hint="eastAsia" w:ascii="宋体" w:hAnsi="宋体" w:cs="宋体"/>
        </w:rPr>
        <w:t>配送关系管理</w:t>
      </w:r>
      <w:r>
        <w:tab/>
      </w:r>
      <w:r>
        <w:fldChar w:fldCharType="begin"/>
      </w:r>
      <w:r>
        <w:instrText xml:space="preserve"> PAGEREF _Toc511924576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"_Toc511924577" </w:instrText>
      </w:r>
      <w:r>
        <w:fldChar w:fldCharType="separate"/>
      </w:r>
      <w:r>
        <w:rPr>
          <w:rStyle w:val="11"/>
          <w:rFonts w:ascii="宋体" w:hAnsi="宋体"/>
        </w:rPr>
        <w:t xml:space="preserve">5.2.1  </w:t>
      </w:r>
      <w:r>
        <w:rPr>
          <w:rStyle w:val="11"/>
          <w:rFonts w:hint="eastAsia" w:ascii="宋体" w:hAnsi="宋体"/>
        </w:rPr>
        <w:t>配送关系设置</w:t>
      </w:r>
      <w:r>
        <w:tab/>
      </w:r>
      <w:r>
        <w:fldChar w:fldCharType="begin"/>
      </w:r>
      <w:r>
        <w:instrText xml:space="preserve"> PAGEREF _Toc511924577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"_Toc511924578" </w:instrText>
      </w:r>
      <w:r>
        <w:fldChar w:fldCharType="separate"/>
      </w:r>
      <w:r>
        <w:rPr>
          <w:rStyle w:val="11"/>
          <w:rFonts w:ascii="宋体" w:hAnsi="宋体"/>
        </w:rPr>
        <w:t xml:space="preserve">5.2.2  </w:t>
      </w:r>
      <w:r>
        <w:rPr>
          <w:rStyle w:val="11"/>
          <w:rFonts w:hint="eastAsia" w:ascii="宋体" w:hAnsi="宋体"/>
        </w:rPr>
        <w:t>配送关系查看</w:t>
      </w:r>
      <w:r>
        <w:tab/>
      </w:r>
      <w:r>
        <w:fldChar w:fldCharType="begin"/>
      </w:r>
      <w:r>
        <w:instrText xml:space="preserve"> PAGEREF _Toc511924578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"_Toc511924579" </w:instrText>
      </w:r>
      <w:r>
        <w:fldChar w:fldCharType="separate"/>
      </w:r>
      <w:r>
        <w:rPr>
          <w:rStyle w:val="11"/>
          <w:rFonts w:ascii="宋体" w:hAnsi="宋体"/>
        </w:rPr>
        <w:t xml:space="preserve">5.2.3  </w:t>
      </w:r>
      <w:r>
        <w:rPr>
          <w:rStyle w:val="11"/>
          <w:rFonts w:hint="eastAsia" w:ascii="宋体" w:hAnsi="宋体"/>
        </w:rPr>
        <w:t>解除配送关系</w:t>
      </w:r>
      <w:r>
        <w:tab/>
      </w:r>
      <w:r>
        <w:fldChar w:fldCharType="begin"/>
      </w:r>
      <w:r>
        <w:instrText xml:space="preserve"> PAGEREF _Toc511924579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"_Toc511924580" </w:instrText>
      </w:r>
      <w:r>
        <w:fldChar w:fldCharType="separate"/>
      </w:r>
      <w:r>
        <w:rPr>
          <w:rStyle w:val="11"/>
          <w:rFonts w:ascii="宋体" w:hAnsi="宋体" w:cs="宋体"/>
        </w:rPr>
        <w:t>5.3</w:t>
      </w:r>
      <w:r>
        <w:rPr>
          <w:rStyle w:val="11"/>
          <w:rFonts w:cs="宋体"/>
        </w:rPr>
        <w:t xml:space="preserve"> </w:t>
      </w:r>
      <w:r>
        <w:rPr>
          <w:rStyle w:val="11"/>
          <w:rFonts w:hint="eastAsia" w:cs="宋体"/>
        </w:rPr>
        <w:t>采购管理</w:t>
      </w:r>
      <w:r>
        <w:tab/>
      </w:r>
      <w:r>
        <w:fldChar w:fldCharType="begin"/>
      </w:r>
      <w:r>
        <w:instrText xml:space="preserve"> PAGEREF _Toc511924580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"_Toc511924581" </w:instrText>
      </w:r>
      <w:r>
        <w:fldChar w:fldCharType="separate"/>
      </w:r>
      <w:r>
        <w:rPr>
          <w:rStyle w:val="11"/>
          <w:rFonts w:ascii="宋体" w:hAnsi="宋体"/>
        </w:rPr>
        <w:t xml:space="preserve">5.3.1  </w:t>
      </w:r>
      <w:r>
        <w:rPr>
          <w:rStyle w:val="11"/>
          <w:rFonts w:hint="eastAsia" w:ascii="宋体" w:hAnsi="宋体"/>
        </w:rPr>
        <w:t>采购信息查看</w:t>
      </w:r>
      <w:r>
        <w:tab/>
      </w:r>
      <w:r>
        <w:fldChar w:fldCharType="begin"/>
      </w:r>
      <w:r>
        <w:instrText xml:space="preserve"> PAGEREF _Toc511924581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"_Toc511924582" </w:instrText>
      </w:r>
      <w:r>
        <w:fldChar w:fldCharType="separate"/>
      </w:r>
      <w:r>
        <w:rPr>
          <w:rStyle w:val="11"/>
          <w:rFonts w:ascii="宋体" w:hAnsi="宋体" w:cs="宋体"/>
        </w:rPr>
        <w:t>5.4</w:t>
      </w:r>
      <w:r>
        <w:rPr>
          <w:rStyle w:val="11"/>
          <w:rFonts w:cs="宋体"/>
        </w:rPr>
        <w:t xml:space="preserve"> </w:t>
      </w:r>
      <w:r>
        <w:rPr>
          <w:rStyle w:val="11"/>
          <w:rFonts w:hint="eastAsia" w:cs="宋体"/>
        </w:rPr>
        <w:t>采购配送管理</w:t>
      </w:r>
      <w:r>
        <w:tab/>
      </w:r>
      <w:r>
        <w:fldChar w:fldCharType="begin"/>
      </w:r>
      <w:r>
        <w:instrText xml:space="preserve"> PAGEREF _Toc511924582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"_Toc511924583" </w:instrText>
      </w:r>
      <w:r>
        <w:fldChar w:fldCharType="separate"/>
      </w:r>
      <w:r>
        <w:rPr>
          <w:rStyle w:val="11"/>
          <w:rFonts w:ascii="宋体" w:hAnsi="宋体"/>
        </w:rPr>
        <w:t xml:space="preserve">5.4.1  </w:t>
      </w:r>
      <w:r>
        <w:rPr>
          <w:rStyle w:val="11"/>
          <w:rFonts w:hint="eastAsia" w:ascii="宋体" w:hAnsi="宋体"/>
        </w:rPr>
        <w:t>配送管理</w:t>
      </w:r>
      <w:r>
        <w:tab/>
      </w:r>
      <w:r>
        <w:fldChar w:fldCharType="begin"/>
      </w:r>
      <w:r>
        <w:instrText xml:space="preserve"> PAGEREF _Toc511924583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"_Toc511924584" </w:instrText>
      </w:r>
      <w:r>
        <w:fldChar w:fldCharType="separate"/>
      </w:r>
      <w:r>
        <w:rPr>
          <w:rStyle w:val="11"/>
          <w:rFonts w:ascii="宋体" w:hAnsi="宋体" w:cs="宋体"/>
        </w:rPr>
        <w:t>5.5</w:t>
      </w:r>
      <w:r>
        <w:rPr>
          <w:rStyle w:val="11"/>
          <w:rFonts w:cs="宋体"/>
        </w:rPr>
        <w:t xml:space="preserve"> </w:t>
      </w:r>
      <w:r>
        <w:rPr>
          <w:rStyle w:val="11"/>
          <w:rFonts w:hint="eastAsia" w:cs="宋体"/>
        </w:rPr>
        <w:t>子用户管理</w:t>
      </w:r>
      <w:r>
        <w:tab/>
      </w:r>
      <w:r>
        <w:fldChar w:fldCharType="begin"/>
      </w:r>
      <w:r>
        <w:instrText xml:space="preserve"> PAGEREF _Toc511924584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"_Toc511924585" </w:instrText>
      </w:r>
      <w:r>
        <w:fldChar w:fldCharType="separate"/>
      </w:r>
      <w:r>
        <w:rPr>
          <w:rStyle w:val="11"/>
          <w:rFonts w:ascii="宋体" w:hAnsi="宋体"/>
        </w:rPr>
        <w:t xml:space="preserve">5.5.1  </w:t>
      </w:r>
      <w:r>
        <w:rPr>
          <w:rStyle w:val="11"/>
          <w:rFonts w:hint="eastAsia" w:ascii="宋体" w:hAnsi="宋体"/>
        </w:rPr>
        <w:t>子用户列表</w:t>
      </w:r>
      <w:r>
        <w:tab/>
      </w:r>
      <w:r>
        <w:fldChar w:fldCharType="begin"/>
      </w:r>
      <w:r>
        <w:instrText xml:space="preserve"> PAGEREF _Toc511924585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rPr>
          <w:rFonts w:ascii="宋体" w:hAnsi="宋体"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  <w:lang w:val="zh-CN"/>
        </w:rPr>
        <w:fldChar w:fldCharType="end"/>
      </w:r>
    </w:p>
    <w:p>
      <w:pPr>
        <w:rPr>
          <w:rFonts w:ascii="宋体" w:hAnsi="宋体"/>
          <w:sz w:val="32"/>
          <w:szCs w:val="32"/>
        </w:rPr>
      </w:pPr>
    </w:p>
    <w:p>
      <w:pPr>
        <w:rPr>
          <w:rFonts w:ascii="宋体" w:hAnsi="宋体"/>
          <w:sz w:val="32"/>
          <w:szCs w:val="32"/>
        </w:rPr>
      </w:pPr>
    </w:p>
    <w:p>
      <w:pPr>
        <w:rPr>
          <w:rFonts w:ascii="宋体" w:hAnsi="宋体"/>
          <w:sz w:val="32"/>
          <w:szCs w:val="32"/>
        </w:rPr>
      </w:pPr>
    </w:p>
    <w:p>
      <w:pPr>
        <w:rPr>
          <w:rFonts w:ascii="宋体" w:hAnsi="宋体"/>
          <w:sz w:val="32"/>
          <w:szCs w:val="32"/>
        </w:rPr>
      </w:pPr>
    </w:p>
    <w:p>
      <w:pPr>
        <w:pStyle w:val="2"/>
        <w:spacing w:line="360" w:lineRule="auto"/>
        <w:rPr>
          <w:rFonts w:ascii="宋体" w:hAnsi="宋体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0" w:name="_Toc437612433"/>
    </w:p>
    <w:bookmarkEnd w:id="0"/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bookmarkStart w:id="1" w:name="_Toc511924565"/>
      <w:r>
        <w:rPr>
          <w:rFonts w:hint="eastAsia" w:ascii="宋体" w:hAnsi="宋体"/>
          <w:sz w:val="24"/>
          <w:szCs w:val="24"/>
        </w:rPr>
        <w:t>关于这本手册</w:t>
      </w:r>
      <w:bookmarkEnd w:id="1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szCs w:val="24"/>
        </w:rPr>
        <w:t>该产品用户手册包含了您在使用贵州省药械招标分类采购系统（直接挂网）时所需了解的信息。</w:t>
      </w:r>
      <w:r>
        <w:rPr>
          <w:rFonts w:hint="eastAsia" w:ascii="宋体" w:hAnsi="宋体"/>
          <w:sz w:val="24"/>
          <w:szCs w:val="24"/>
          <w:highlight w:val="yellow"/>
        </w:rPr>
        <w:t>手册中所出现的用户名称及相关数据均为系统测试数据，不作为任何正式药品采购的依据</w:t>
      </w:r>
      <w:r>
        <w:rPr>
          <w:rFonts w:hint="eastAsia" w:ascii="宋体" w:hAnsi="宋体"/>
          <w:sz w:val="24"/>
          <w:szCs w:val="24"/>
        </w:rPr>
        <w:t>，在本系统正式使用前将予以清除。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bookmarkStart w:id="2" w:name="_Toc511924566"/>
      <w:bookmarkStart w:id="3" w:name="_Toc437612434"/>
      <w:r>
        <w:rPr>
          <w:rFonts w:hint="eastAsia" w:ascii="宋体" w:hAnsi="宋体"/>
          <w:sz w:val="24"/>
          <w:szCs w:val="24"/>
        </w:rPr>
        <w:t>使用须知</w:t>
      </w:r>
      <w:bookmarkEnd w:id="2"/>
      <w:bookmarkEnd w:id="3"/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请对照列表检查您的操作系统是否符合下面的基本要求</w:t>
      </w:r>
    </w:p>
    <w:tbl>
      <w:tblPr>
        <w:tblStyle w:val="12"/>
        <w:tblW w:w="5670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843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序号</w:t>
            </w:r>
          </w:p>
        </w:tc>
        <w:tc>
          <w:tcPr>
            <w:tcW w:w="1843" w:type="dxa"/>
          </w:tcPr>
          <w:p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硬件或软件</w:t>
            </w:r>
          </w:p>
        </w:tc>
        <w:tc>
          <w:tcPr>
            <w:tcW w:w="2693" w:type="dxa"/>
          </w:tcPr>
          <w:p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客户端最低配置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</w:rPr>
              <w:t>CPU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  <w:r>
              <w:rPr>
                <w:rFonts w:ascii="宋体" w:hAnsi="宋体"/>
                <w:sz w:val="24"/>
              </w:rPr>
              <w:t>.70GHz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内存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展示器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1024*768/256色分辨率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网络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1M</w:t>
            </w:r>
            <w:r>
              <w:rPr>
                <w:rFonts w:hint="eastAsia" w:ascii="宋体" w:hAnsi="宋体"/>
                <w:sz w:val="24"/>
              </w:rPr>
              <w:t>带宽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浏览器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</w:rPr>
              <w:t>Internet Explorer 9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10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11 </w:t>
            </w:r>
          </w:p>
        </w:tc>
      </w:tr>
    </w:tbl>
    <w:p>
      <w:pPr>
        <w:rPr>
          <w:rFonts w:ascii="宋体" w:hAnsi="宋体"/>
        </w:rPr>
      </w:pP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bookmarkStart w:id="4" w:name="_Toc511924567"/>
      <w:bookmarkStart w:id="5" w:name="_Toc507058380"/>
      <w:r>
        <w:rPr>
          <w:rFonts w:hint="eastAsia" w:ascii="宋体" w:hAnsi="宋体"/>
          <w:sz w:val="24"/>
          <w:szCs w:val="24"/>
        </w:rPr>
        <w:t>关于CA</w:t>
      </w:r>
      <w:bookmarkEnd w:id="4"/>
      <w:bookmarkEnd w:id="5"/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由于之前上传资料阶段，各用户上传的PDF电子文档大小不一，导致平台审核时出现企业电子印章变形、模糊不清等情况，影响各企业的资料有效性。经协调印章厂商对印章工具进行调整，设置默认盖章PDF文档必须为A4纸大小才可成功盖章，以此来保证各用户上传资料的规范有效。请各企业后续使用时下载更新电子印章驱动。下载地址详见后续通知。印章更新详细情况请咨询GZCA客服：4007000813，0851-86402317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bookmarkStart w:id="6" w:name="_Toc511924568"/>
      <w:bookmarkStart w:id="7" w:name="_Toc507058381"/>
      <w:r>
        <w:rPr>
          <w:rFonts w:hint="eastAsia" w:ascii="宋体" w:hAnsi="宋体"/>
          <w:sz w:val="24"/>
          <w:szCs w:val="24"/>
        </w:rPr>
        <w:t>登录系统</w:t>
      </w:r>
      <w:bookmarkEnd w:id="6"/>
      <w:bookmarkEnd w:id="7"/>
    </w:p>
    <w:p>
      <w:pPr>
        <w:pStyle w:val="18"/>
        <w:numPr>
          <w:ilvl w:val="0"/>
          <w:numId w:val="2"/>
        </w:numPr>
        <w:adjustRightInd w:val="0"/>
        <w:spacing w:before="156" w:beforeLines="50" w:after="156" w:afterLines="50" w:line="360" w:lineRule="auto"/>
        <w:ind w:firstLineChars="0"/>
        <w:jc w:val="left"/>
        <w:outlineLvl w:val="1"/>
        <w:rPr>
          <w:rFonts w:ascii="宋体" w:hAnsi="宋体" w:cs="宋体"/>
          <w:b/>
          <w:bCs/>
          <w:vanish/>
          <w:sz w:val="32"/>
          <w:szCs w:val="32"/>
        </w:rPr>
      </w:pPr>
      <w:bookmarkStart w:id="8" w:name="_Toc507256014"/>
      <w:bookmarkEnd w:id="8"/>
      <w:bookmarkStart w:id="9" w:name="_Toc507355864"/>
      <w:bookmarkEnd w:id="9"/>
      <w:bookmarkStart w:id="10" w:name="_Toc508272860"/>
      <w:bookmarkEnd w:id="10"/>
      <w:bookmarkStart w:id="11" w:name="_Toc507355623"/>
      <w:bookmarkEnd w:id="11"/>
      <w:bookmarkStart w:id="12" w:name="_Toc507349498"/>
      <w:bookmarkEnd w:id="12"/>
      <w:bookmarkStart w:id="13" w:name="_Toc507235463"/>
      <w:bookmarkEnd w:id="13"/>
      <w:bookmarkStart w:id="14" w:name="_Toc507235388"/>
      <w:bookmarkEnd w:id="14"/>
      <w:bookmarkStart w:id="15" w:name="_Toc437951478"/>
      <w:bookmarkEnd w:id="15"/>
      <w:bookmarkStart w:id="16" w:name="_Toc441509498"/>
      <w:bookmarkEnd w:id="16"/>
      <w:bookmarkStart w:id="17" w:name="_Toc437956947"/>
      <w:bookmarkEnd w:id="17"/>
      <w:bookmarkStart w:id="18" w:name="_Toc437951464"/>
      <w:bookmarkEnd w:id="18"/>
      <w:bookmarkStart w:id="19" w:name="_Toc507244690"/>
      <w:bookmarkEnd w:id="19"/>
      <w:bookmarkStart w:id="20" w:name="_Toc507058343"/>
      <w:bookmarkEnd w:id="20"/>
      <w:bookmarkStart w:id="21" w:name="_Toc472970087"/>
      <w:bookmarkEnd w:id="21"/>
      <w:bookmarkStart w:id="22" w:name="_Toc509785227"/>
      <w:bookmarkEnd w:id="22"/>
      <w:bookmarkStart w:id="23" w:name="_Toc472970112"/>
      <w:bookmarkEnd w:id="23"/>
      <w:bookmarkStart w:id="24" w:name="_Toc441506263"/>
      <w:bookmarkEnd w:id="24"/>
      <w:bookmarkStart w:id="25" w:name="_Toc437951900"/>
      <w:bookmarkEnd w:id="25"/>
      <w:bookmarkStart w:id="26" w:name="_Toc507058382"/>
      <w:bookmarkEnd w:id="26"/>
      <w:bookmarkStart w:id="27" w:name="_Toc472970135"/>
      <w:bookmarkEnd w:id="27"/>
      <w:bookmarkStart w:id="28" w:name="_Toc437956971"/>
      <w:bookmarkEnd w:id="28"/>
      <w:bookmarkStart w:id="29" w:name="_Toc441502550"/>
      <w:bookmarkEnd w:id="29"/>
      <w:bookmarkStart w:id="30" w:name="_Toc441502576"/>
      <w:bookmarkEnd w:id="30"/>
      <w:bookmarkStart w:id="31" w:name="_Toc511924569"/>
      <w:bookmarkEnd w:id="31"/>
      <w:bookmarkStart w:id="32" w:name="_Toc441506237"/>
      <w:bookmarkEnd w:id="32"/>
    </w:p>
    <w:p>
      <w:pPr>
        <w:pStyle w:val="18"/>
        <w:numPr>
          <w:ilvl w:val="0"/>
          <w:numId w:val="2"/>
        </w:numPr>
        <w:adjustRightInd w:val="0"/>
        <w:spacing w:before="156" w:beforeLines="50" w:after="156" w:afterLines="50" w:line="360" w:lineRule="auto"/>
        <w:ind w:firstLineChars="0"/>
        <w:jc w:val="left"/>
        <w:outlineLvl w:val="1"/>
        <w:rPr>
          <w:rFonts w:ascii="宋体" w:hAnsi="宋体" w:cs="宋体"/>
          <w:b/>
          <w:bCs/>
          <w:vanish/>
          <w:sz w:val="32"/>
          <w:szCs w:val="32"/>
        </w:rPr>
      </w:pPr>
      <w:bookmarkStart w:id="33" w:name="_Toc509785228"/>
      <w:bookmarkEnd w:id="33"/>
      <w:bookmarkStart w:id="34" w:name="_Toc441506238"/>
      <w:bookmarkEnd w:id="34"/>
      <w:bookmarkStart w:id="35" w:name="_Toc508272861"/>
      <w:bookmarkEnd w:id="35"/>
      <w:bookmarkStart w:id="36" w:name="_Toc437956948"/>
      <w:bookmarkEnd w:id="36"/>
      <w:bookmarkStart w:id="37" w:name="_Toc507349499"/>
      <w:bookmarkEnd w:id="37"/>
      <w:bookmarkStart w:id="38" w:name="_Toc507355624"/>
      <w:bookmarkEnd w:id="38"/>
      <w:bookmarkStart w:id="39" w:name="_Toc507058344"/>
      <w:bookmarkEnd w:id="39"/>
      <w:bookmarkStart w:id="40" w:name="_Toc472970113"/>
      <w:bookmarkEnd w:id="40"/>
      <w:bookmarkStart w:id="41" w:name="_Toc437951479"/>
      <w:bookmarkEnd w:id="41"/>
      <w:bookmarkStart w:id="42" w:name="_Toc507244691"/>
      <w:bookmarkEnd w:id="42"/>
      <w:bookmarkStart w:id="43" w:name="_Toc507235464"/>
      <w:bookmarkEnd w:id="43"/>
      <w:bookmarkStart w:id="44" w:name="_Toc507058383"/>
      <w:bookmarkEnd w:id="44"/>
      <w:bookmarkStart w:id="45" w:name="_Toc437951901"/>
      <w:bookmarkEnd w:id="45"/>
      <w:bookmarkStart w:id="46" w:name="_Toc472970136"/>
      <w:bookmarkEnd w:id="46"/>
      <w:bookmarkStart w:id="47" w:name="_Toc437951465"/>
      <w:bookmarkEnd w:id="47"/>
      <w:bookmarkStart w:id="48" w:name="_Toc511924570"/>
      <w:bookmarkEnd w:id="48"/>
      <w:bookmarkStart w:id="49" w:name="_Toc507355865"/>
      <w:bookmarkEnd w:id="49"/>
      <w:bookmarkStart w:id="50" w:name="_Toc441502577"/>
      <w:bookmarkEnd w:id="50"/>
      <w:bookmarkStart w:id="51" w:name="_Toc441502551"/>
      <w:bookmarkEnd w:id="51"/>
      <w:bookmarkStart w:id="52" w:name="_Toc441506264"/>
      <w:bookmarkEnd w:id="52"/>
      <w:bookmarkStart w:id="53" w:name="_Toc507256015"/>
      <w:bookmarkEnd w:id="53"/>
      <w:bookmarkStart w:id="54" w:name="_Toc441509499"/>
      <w:bookmarkEnd w:id="54"/>
      <w:bookmarkStart w:id="55" w:name="_Toc437956972"/>
      <w:bookmarkEnd w:id="55"/>
      <w:bookmarkStart w:id="56" w:name="_Toc507235389"/>
      <w:bookmarkEnd w:id="56"/>
      <w:bookmarkStart w:id="57" w:name="_Toc472970088"/>
      <w:bookmarkEnd w:id="57"/>
    </w:p>
    <w:p>
      <w:pPr>
        <w:pStyle w:val="18"/>
        <w:numPr>
          <w:ilvl w:val="0"/>
          <w:numId w:val="2"/>
        </w:numPr>
        <w:adjustRightInd w:val="0"/>
        <w:spacing w:before="156" w:beforeLines="50" w:after="156" w:afterLines="50" w:line="360" w:lineRule="auto"/>
        <w:ind w:firstLineChars="0"/>
        <w:jc w:val="left"/>
        <w:outlineLvl w:val="1"/>
        <w:rPr>
          <w:rFonts w:ascii="宋体" w:hAnsi="宋体" w:cs="宋体"/>
          <w:b/>
          <w:bCs/>
          <w:vanish/>
          <w:sz w:val="32"/>
          <w:szCs w:val="32"/>
        </w:rPr>
      </w:pPr>
      <w:bookmarkStart w:id="58" w:name="_Toc472970089"/>
      <w:bookmarkEnd w:id="58"/>
      <w:bookmarkStart w:id="59" w:name="_Toc441502552"/>
      <w:bookmarkEnd w:id="59"/>
      <w:bookmarkStart w:id="60" w:name="_Toc507256016"/>
      <w:bookmarkEnd w:id="60"/>
      <w:bookmarkStart w:id="61" w:name="_Toc472970114"/>
      <w:bookmarkEnd w:id="61"/>
      <w:bookmarkStart w:id="62" w:name="_Toc437951466"/>
      <w:bookmarkEnd w:id="62"/>
      <w:bookmarkStart w:id="63" w:name="_Toc508272862"/>
      <w:bookmarkEnd w:id="63"/>
      <w:bookmarkStart w:id="64" w:name="_Toc511924571"/>
      <w:bookmarkEnd w:id="64"/>
      <w:bookmarkStart w:id="65" w:name="_Toc507355625"/>
      <w:bookmarkEnd w:id="65"/>
      <w:bookmarkStart w:id="66" w:name="_Toc509785229"/>
      <w:bookmarkEnd w:id="66"/>
      <w:bookmarkStart w:id="67" w:name="_Toc507058384"/>
      <w:bookmarkEnd w:id="67"/>
      <w:bookmarkStart w:id="68" w:name="_Toc507349500"/>
      <w:bookmarkEnd w:id="68"/>
      <w:bookmarkStart w:id="69" w:name="_Toc507244692"/>
      <w:bookmarkEnd w:id="69"/>
      <w:bookmarkStart w:id="70" w:name="_Toc507058345"/>
      <w:bookmarkEnd w:id="70"/>
      <w:bookmarkStart w:id="71" w:name="_Toc507235390"/>
      <w:bookmarkEnd w:id="71"/>
      <w:bookmarkStart w:id="72" w:name="_Toc507235465"/>
      <w:bookmarkEnd w:id="72"/>
      <w:bookmarkStart w:id="73" w:name="_Toc507355866"/>
      <w:bookmarkEnd w:id="73"/>
      <w:bookmarkStart w:id="74" w:name="_Toc441506265"/>
      <w:bookmarkEnd w:id="74"/>
      <w:bookmarkStart w:id="75" w:name="_Toc441506239"/>
      <w:bookmarkEnd w:id="75"/>
      <w:bookmarkStart w:id="76" w:name="_Toc437956949"/>
      <w:bookmarkEnd w:id="76"/>
      <w:bookmarkStart w:id="77" w:name="_Toc437951902"/>
      <w:bookmarkEnd w:id="77"/>
      <w:bookmarkStart w:id="78" w:name="_Toc437951480"/>
      <w:bookmarkEnd w:id="78"/>
      <w:bookmarkStart w:id="79" w:name="_Toc441509500"/>
      <w:bookmarkEnd w:id="79"/>
      <w:bookmarkStart w:id="80" w:name="_Toc441502578"/>
      <w:bookmarkEnd w:id="80"/>
      <w:bookmarkStart w:id="81" w:name="_Toc472970137"/>
      <w:bookmarkEnd w:id="81"/>
      <w:bookmarkStart w:id="82" w:name="_Toc437956973"/>
      <w:bookmarkEnd w:id="82"/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/>
          <w:sz w:val="24"/>
          <w:szCs w:val="24"/>
        </w:rPr>
      </w:pPr>
      <w:bookmarkStart w:id="83" w:name="_Toc507058385"/>
      <w:bookmarkStart w:id="84" w:name="_Toc511924572"/>
      <w:r>
        <w:rPr>
          <w:rFonts w:hint="eastAsia" w:ascii="宋体" w:hAnsi="宋体" w:cs="宋体"/>
          <w:sz w:val="24"/>
          <w:szCs w:val="24"/>
        </w:rPr>
        <w:t>4.1 用户登录</w:t>
      </w:r>
      <w:bookmarkEnd w:id="83"/>
      <w:bookmarkEnd w:id="84"/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《贵州省高值医用耗材集中采购系统》登录网址：</w:t>
      </w:r>
      <w:r>
        <w:fldChar w:fldCharType="begin"/>
      </w:r>
      <w:r>
        <w:instrText xml:space="preserve"> HYPERLINK "http://192.168.1.11:6091/Login.aspx" </w:instrText>
      </w:r>
      <w:r>
        <w:fldChar w:fldCharType="separate"/>
      </w:r>
      <w:r>
        <w:rPr>
          <w:rStyle w:val="11"/>
          <w:rFonts w:ascii="宋体" w:hAnsi="宋体" w:cs="宋体"/>
          <w:kern w:val="0"/>
          <w:sz w:val="24"/>
          <w:szCs w:val="24"/>
        </w:rPr>
        <w:t>http://192.168.1.11:6091/Login.aspx</w:t>
      </w:r>
      <w:r>
        <w:rPr>
          <w:rStyle w:val="11"/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</w:rPr>
        <w:t>,进入贵州省医药集中</w:t>
      </w:r>
      <w:r>
        <w:rPr>
          <w:rFonts w:ascii="宋体" w:hAnsi="宋体"/>
          <w:sz w:val="24"/>
          <w:szCs w:val="24"/>
        </w:rPr>
        <w:t>采购平台</w:t>
      </w:r>
      <w:r>
        <w:rPr>
          <w:rFonts w:hint="eastAsia" w:ascii="宋体" w:hAnsi="宋体"/>
          <w:sz w:val="24"/>
          <w:szCs w:val="24"/>
        </w:rPr>
        <w:t>，如图4-</w:t>
      </w:r>
      <w:r>
        <w:rPr>
          <w:rFonts w:ascii="宋体" w:hAnsi="宋体"/>
          <w:sz w:val="24"/>
          <w:szCs w:val="24"/>
        </w:rPr>
        <w:t>1-1所示</w:t>
      </w:r>
      <w:r>
        <w:rPr>
          <w:rFonts w:hint="eastAsia" w:ascii="宋体" w:hAnsi="宋体"/>
          <w:sz w:val="24"/>
          <w:szCs w:val="24"/>
        </w:rPr>
        <w:t>：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/>
        </w:rPr>
        <w:drawing>
          <wp:inline distT="0" distB="0" distL="0" distR="0">
            <wp:extent cx="5274310" cy="2444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</w:rPr>
        <w:t xml:space="preserve">  </w:t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图4-1</w:t>
      </w:r>
      <w:r>
        <w:rPr>
          <w:rFonts w:ascii="宋体" w:hAnsi="宋体"/>
          <w:szCs w:val="21"/>
        </w:rPr>
        <w:t>-1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插入企业CA</w:t>
      </w:r>
      <w:r>
        <w:rPr>
          <w:rFonts w:ascii="宋体" w:hAnsi="宋体"/>
          <w:szCs w:val="21"/>
        </w:rPr>
        <w:t>Key</w:t>
      </w:r>
      <w:r>
        <w:rPr>
          <w:rFonts w:hint="eastAsia" w:ascii="宋体" w:hAnsi="宋体"/>
          <w:szCs w:val="21"/>
        </w:rPr>
        <w:t>，点击【登录】，</w:t>
      </w:r>
      <w:r>
        <w:rPr>
          <w:rFonts w:ascii="宋体" w:hAnsi="宋体"/>
          <w:szCs w:val="21"/>
        </w:rPr>
        <w:t>输入key</w:t>
      </w:r>
      <w:r>
        <w:rPr>
          <w:rFonts w:hint="eastAsia" w:ascii="宋体" w:hAnsi="宋体"/>
          <w:szCs w:val="21"/>
        </w:rPr>
        <w:t>口令，</w:t>
      </w:r>
      <w:r>
        <w:rPr>
          <w:rFonts w:ascii="宋体" w:hAnsi="宋体"/>
          <w:szCs w:val="21"/>
        </w:rPr>
        <w:t>如图</w:t>
      </w:r>
      <w:r>
        <w:rPr>
          <w:rFonts w:hint="eastAsia" w:ascii="宋体" w:hAnsi="宋体"/>
          <w:szCs w:val="21"/>
        </w:rPr>
        <w:t>4</w:t>
      </w:r>
      <w:r>
        <w:rPr>
          <w:rFonts w:ascii="宋体" w:hAnsi="宋体"/>
          <w:szCs w:val="21"/>
        </w:rPr>
        <w:t>-1-2</w:t>
      </w:r>
      <w:r>
        <w:rPr>
          <w:rFonts w:hint="eastAsia" w:ascii="宋体" w:hAnsi="宋体"/>
          <w:szCs w:val="21"/>
        </w:rPr>
        <w:t>所示，</w:t>
      </w:r>
      <w:r>
        <w:rPr>
          <w:rFonts w:ascii="宋体" w:hAnsi="宋体"/>
          <w:szCs w:val="21"/>
        </w:rPr>
        <w:t>点击确定</w:t>
      </w:r>
      <w:r>
        <w:rPr>
          <w:rFonts w:hint="eastAsia" w:ascii="宋体" w:hAnsi="宋体"/>
          <w:szCs w:val="21"/>
        </w:rPr>
        <w:t>登录</w:t>
      </w:r>
      <w:r>
        <w:rPr>
          <w:rFonts w:ascii="宋体" w:hAnsi="宋体"/>
          <w:szCs w:val="21"/>
        </w:rPr>
        <w:t>系统</w:t>
      </w:r>
      <w:r>
        <w:rPr>
          <w:rFonts w:hint="eastAsia" w:ascii="宋体" w:hAnsi="宋体"/>
          <w:szCs w:val="21"/>
        </w:rPr>
        <w:t>。登录后如图4-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-</w:t>
      </w:r>
      <w:r>
        <w:rPr>
          <w:rFonts w:ascii="宋体" w:hAnsi="宋体"/>
          <w:szCs w:val="21"/>
        </w:rPr>
        <w:t>3所示</w:t>
      </w: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</w:rPr>
        <w:drawing>
          <wp:inline distT="0" distB="0" distL="0" distR="0">
            <wp:extent cx="5200650" cy="25565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2332" cy="255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图4</w:t>
      </w:r>
      <w:r>
        <w:rPr>
          <w:rFonts w:ascii="宋体" w:hAnsi="宋体"/>
          <w:sz w:val="24"/>
          <w:szCs w:val="24"/>
        </w:rPr>
        <w:t>-1-2</w:t>
      </w: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</w:rPr>
        <w:drawing>
          <wp:inline distT="0" distB="0" distL="0" distR="0">
            <wp:extent cx="5274310" cy="24282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 </w:t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图4-</w:t>
      </w:r>
      <w:r>
        <w:rPr>
          <w:rFonts w:ascii="宋体" w:hAnsi="宋体"/>
          <w:sz w:val="24"/>
          <w:szCs w:val="24"/>
        </w:rPr>
        <w:t>1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bookmarkStart w:id="85" w:name="_Toc511924573"/>
      <w:bookmarkStart w:id="86" w:name="_Toc507058386"/>
      <w:r>
        <w:rPr>
          <w:rFonts w:hint="eastAsia" w:ascii="宋体" w:hAnsi="宋体"/>
          <w:sz w:val="24"/>
          <w:szCs w:val="24"/>
        </w:rPr>
        <w:t>系统操作流程</w:t>
      </w:r>
      <w:bookmarkEnd w:id="85"/>
      <w:bookmarkEnd w:id="86"/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【</w:t>
      </w:r>
      <w:r>
        <w:rPr>
          <w:rFonts w:hint="eastAsia" w:ascii="宋体" w:hAnsi="宋体"/>
          <w:sz w:val="24"/>
          <w:szCs w:val="24"/>
        </w:rPr>
        <w:t>配送系统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耗材配送系统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图5-1-1</w:t>
      </w:r>
      <w:r>
        <w:rPr>
          <w:rFonts w:hint="eastAsia" w:ascii="宋体" w:hAnsi="宋体"/>
          <w:sz w:val="24"/>
          <w:szCs w:val="24"/>
        </w:rPr>
        <w:t>所示</w:t>
      </w:r>
      <w:r>
        <w:rPr>
          <w:rFonts w:ascii="宋体" w:hAnsi="宋体"/>
          <w:sz w:val="24"/>
          <w:szCs w:val="24"/>
        </w:rPr>
        <w:t>：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  <w:r>
        <w:rPr>
          <w:rFonts w:ascii="宋体" w:hAnsi="宋体"/>
          <w:sz w:val="24"/>
          <w:szCs w:val="24"/>
        </w:rPr>
        <w:t>图5-1-1</w:t>
      </w:r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/>
          <w:sz w:val="24"/>
          <w:szCs w:val="24"/>
        </w:rPr>
      </w:pPr>
      <w:bookmarkStart w:id="87" w:name="_Toc511924574"/>
      <w:r>
        <w:rPr>
          <w:rFonts w:ascii="宋体" w:hAnsi="宋体" w:cs="宋体"/>
          <w:sz w:val="24"/>
          <w:szCs w:val="24"/>
        </w:rPr>
        <w:t>5</w:t>
      </w:r>
      <w:r>
        <w:rPr>
          <w:rFonts w:hint="eastAsia" w:ascii="宋体" w:hAnsi="宋体" w:cs="宋体"/>
          <w:sz w:val="24"/>
          <w:szCs w:val="24"/>
        </w:rPr>
        <w:t>.1 自配送认定</w:t>
      </w:r>
      <w:bookmarkEnd w:id="87"/>
    </w:p>
    <w:p>
      <w:pPr>
        <w:pStyle w:val="4"/>
        <w:rPr>
          <w:rFonts w:ascii="宋体" w:hAnsi="宋体"/>
          <w:sz w:val="24"/>
          <w:szCs w:val="24"/>
        </w:rPr>
      </w:pPr>
      <w:bookmarkStart w:id="88" w:name="_Toc511924575"/>
      <w:r>
        <w:rPr>
          <w:rFonts w:hint="eastAsia" w:ascii="宋体" w:hAnsi="宋体"/>
          <w:sz w:val="24"/>
          <w:szCs w:val="24"/>
        </w:rPr>
        <w:t>5.1.1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t>自配送认定</w:t>
      </w:r>
      <w:bookmarkEnd w:id="88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自配送认定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【自配送认定】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配送关系设置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420" w:firstLineChars="200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4199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1-1-1</w:t>
      </w: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点击【点击添加图片】上传JSP证书图片。如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1-1-2</w:t>
      </w:r>
      <w:r>
        <w:rPr>
          <w:rFonts w:hint="eastAsia" w:ascii="宋体" w:hAnsi="宋体"/>
          <w:sz w:val="24"/>
          <w:szCs w:val="24"/>
        </w:rPr>
        <w:t>所示</w:t>
      </w:r>
    </w:p>
    <w:p>
      <w:pPr>
        <w:spacing w:line="360" w:lineRule="auto"/>
        <w:ind w:firstLine="420" w:firstLineChars="200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322516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1-1-2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点击【提交】按钮，保存提交JSP证书后，自配送认定成功。如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1-1-3，图5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1-1-4</w:t>
      </w:r>
      <w:r>
        <w:rPr>
          <w:rFonts w:hint="eastAsia" w:ascii="宋体" w:hAnsi="宋体"/>
          <w:sz w:val="24"/>
          <w:szCs w:val="24"/>
        </w:rPr>
        <w:t>所示</w:t>
      </w:r>
    </w:p>
    <w:p/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20" w:firstLineChars="200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197993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1-1-3</w:t>
      </w:r>
    </w:p>
    <w:p>
      <w:r>
        <w:drawing>
          <wp:inline distT="0" distB="0" distL="0" distR="0">
            <wp:extent cx="5274310" cy="24765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1-1-3</w:t>
      </w:r>
    </w:p>
    <w:p/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/>
          <w:sz w:val="24"/>
          <w:szCs w:val="24"/>
        </w:rPr>
      </w:pPr>
      <w:bookmarkStart w:id="89" w:name="_Toc511924576"/>
      <w:r>
        <w:rPr>
          <w:rFonts w:hint="eastAsia" w:ascii="宋体" w:hAnsi="宋体" w:cs="宋体"/>
          <w:sz w:val="24"/>
          <w:szCs w:val="24"/>
        </w:rPr>
        <w:t>5.2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</w:rPr>
        <w:t>配送关系管理</w:t>
      </w:r>
      <w:bookmarkEnd w:id="89"/>
    </w:p>
    <w:p>
      <w:pPr>
        <w:pStyle w:val="4"/>
        <w:rPr>
          <w:rFonts w:ascii="宋体" w:hAnsi="宋体"/>
          <w:sz w:val="24"/>
          <w:szCs w:val="24"/>
        </w:rPr>
      </w:pPr>
      <w:bookmarkStart w:id="90" w:name="_Toc511924577"/>
      <w:r>
        <w:rPr>
          <w:rFonts w:hint="eastAsia" w:ascii="宋体" w:hAnsi="宋体"/>
          <w:sz w:val="24"/>
          <w:szCs w:val="24"/>
        </w:rPr>
        <w:t>5.2.1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t>配送关系设置</w:t>
      </w:r>
      <w:bookmarkEnd w:id="90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配送关系管理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【配送关系设置】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配送关系设置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210" w:firstLineChars="100"/>
        <w:jc w:val="left"/>
        <w:rPr>
          <w:rFonts w:ascii="宋体" w:hAnsi="宋体"/>
        </w:rPr>
      </w:pPr>
      <w:r>
        <w:drawing>
          <wp:inline distT="0" distB="0" distL="0" distR="0">
            <wp:extent cx="5274310" cy="23526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2-1-1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选择【按组件目录设置】配送关系设置方式，点击【进入】按钮，进入设置配送关系页面，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2-1-2所示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525" w:firstLineChars="250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06946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2-1-2</w:t>
      </w:r>
    </w:p>
    <w:p>
      <w:pPr>
        <w:tabs>
          <w:tab w:val="left" w:pos="4820"/>
        </w:tabs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选择一条组件信息，点击操作栏【添加配送关系】按钮，进入设置配送企业页面，如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2-1-3所示</w:t>
      </w:r>
      <w:r>
        <w:rPr>
          <w:rFonts w:hint="eastAsia" w:ascii="宋体" w:hAnsi="宋体"/>
          <w:sz w:val="24"/>
          <w:szCs w:val="24"/>
        </w:rPr>
        <w:t>。选择地区后，在该地区的可选择配送企业列表中选择企业，在操作栏点击【设为当前区县配送】按钮，将改配送企业设置为本组件配送企业，状态更改为配送企业未确认。在配送企业确认后，该配送关系才建立成功。在建立配送关系成功的基础上，可以将配送企业设置为默认配送企业，点击操作栏【设置为默认配送】按钮，进行设置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</w:rPr>
        <w:drawing>
          <wp:inline distT="0" distB="0" distL="0" distR="0">
            <wp:extent cx="5274310" cy="31273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2-1-3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选择【按配送企业设置】配送关系设置方式，点击【进入】按钮，进入设置配送关系页面，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2-1-4所示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4066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2-1-4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选择某一企业，点击操作栏设置配送图标，进入设置配送关系页面。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2-1-5所示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64731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2-1-5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在配送企业设置页面选择组件以及配送区域，点击【保存】按钮设置配送关系。</w:t>
      </w: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组件编号、组件名称、生产企业名称、注册证编号输入框中输入具体查询信息、选择目录分类，点击【查询】按钮，列表中展示查询结果数据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pStyle w:val="4"/>
        <w:rPr>
          <w:rFonts w:ascii="宋体" w:hAnsi="宋体"/>
          <w:sz w:val="24"/>
          <w:szCs w:val="24"/>
        </w:rPr>
      </w:pPr>
      <w:bookmarkStart w:id="91" w:name="_Toc509784940"/>
      <w:bookmarkStart w:id="92" w:name="_Toc511924578"/>
      <w:r>
        <w:rPr>
          <w:rFonts w:hint="eastAsia" w:ascii="宋体" w:hAnsi="宋体"/>
          <w:sz w:val="24"/>
          <w:szCs w:val="24"/>
        </w:rPr>
        <w:t>5.2.</w:t>
      </w:r>
      <w:r>
        <w:rPr>
          <w:rFonts w:ascii="宋体" w:hAnsi="宋体"/>
          <w:sz w:val="24"/>
          <w:szCs w:val="24"/>
        </w:rPr>
        <w:t xml:space="preserve">2  </w:t>
      </w:r>
      <w:r>
        <w:rPr>
          <w:rFonts w:hint="eastAsia" w:ascii="宋体" w:hAnsi="宋体"/>
          <w:sz w:val="24"/>
          <w:szCs w:val="24"/>
        </w:rPr>
        <w:t>配送关系查看</w:t>
      </w:r>
      <w:bookmarkEnd w:id="91"/>
      <w:bookmarkEnd w:id="92"/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配送关系管理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【配送关系查看】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配送关系查看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2-2-1所示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组件编号、组件名称、配送企业注册号、配送企业名称、生产企业名输入框中输入具体查询信息、选择目录分类、状态及配送区域，点击【查询】按钮，列表中展示查询结果数据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</w:rPr>
        <w:drawing>
          <wp:inline distT="0" distB="0" distL="0" distR="0">
            <wp:extent cx="5274310" cy="21012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2-2-1</w:t>
      </w:r>
    </w:p>
    <w:p>
      <w:pPr>
        <w:pStyle w:val="4"/>
        <w:rPr>
          <w:rFonts w:ascii="宋体" w:hAnsi="宋体"/>
          <w:sz w:val="24"/>
          <w:szCs w:val="24"/>
        </w:rPr>
      </w:pPr>
      <w:bookmarkStart w:id="93" w:name="_Toc509783702"/>
      <w:bookmarkStart w:id="94" w:name="_Toc509784941"/>
      <w:bookmarkStart w:id="95" w:name="_Toc511924579"/>
      <w:r>
        <w:rPr>
          <w:rFonts w:hint="eastAsia" w:ascii="宋体" w:hAnsi="宋体"/>
          <w:sz w:val="24"/>
          <w:szCs w:val="24"/>
        </w:rPr>
        <w:t>5.2.3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t>解除配送关系</w:t>
      </w:r>
      <w:bookmarkEnd w:id="93"/>
      <w:bookmarkEnd w:id="94"/>
      <w:bookmarkEnd w:id="95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配送关系管理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【解除配送关系】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解除配送关系</w:t>
      </w:r>
      <w:r>
        <w:rPr>
          <w:rFonts w:ascii="宋体" w:hAnsi="宋体"/>
          <w:sz w:val="24"/>
          <w:szCs w:val="24"/>
        </w:rPr>
        <w:t>页面，</w:t>
      </w:r>
      <w:r>
        <w:rPr>
          <w:rFonts w:hint="eastAsia" w:ascii="宋体" w:hAnsi="宋体"/>
          <w:sz w:val="24"/>
          <w:szCs w:val="24"/>
        </w:rPr>
        <w:t>查看已提交的解除配送关系列表，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2-3-1所示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17983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2-3-1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组件编号、组件名称、配送企业注册号、配送企业名称、生产企业名输入框中输入具体查询信息、选择目录分类、状态及配送区域，点击【查询】按钮，列表中展示查询结果数据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/>
          <w:sz w:val="24"/>
          <w:szCs w:val="24"/>
        </w:rPr>
      </w:pPr>
      <w:bookmarkStart w:id="96" w:name="_Toc511924580"/>
      <w:r>
        <w:rPr>
          <w:rFonts w:ascii="宋体" w:hAnsi="宋体" w:cs="宋体"/>
          <w:sz w:val="24"/>
          <w:szCs w:val="24"/>
        </w:rPr>
        <w:t>5.3</w:t>
      </w:r>
      <w:r>
        <w:rPr>
          <w:rFonts w:hint="eastAsia" w:cs="宋体"/>
          <w:b w:val="0"/>
          <w:sz w:val="24"/>
          <w:szCs w:val="24"/>
        </w:rPr>
        <w:t xml:space="preserve"> </w:t>
      </w:r>
      <w:r>
        <w:rPr>
          <w:rFonts w:hint="eastAsia" w:cs="宋体"/>
          <w:sz w:val="24"/>
          <w:szCs w:val="24"/>
        </w:rPr>
        <w:t>采购管理</w:t>
      </w:r>
      <w:bookmarkEnd w:id="96"/>
    </w:p>
    <w:p>
      <w:pPr>
        <w:pStyle w:val="4"/>
        <w:rPr>
          <w:rFonts w:ascii="宋体" w:hAnsi="宋体"/>
          <w:sz w:val="24"/>
          <w:szCs w:val="24"/>
        </w:rPr>
      </w:pPr>
      <w:bookmarkStart w:id="97" w:name="_Toc511924581"/>
      <w:r>
        <w:rPr>
          <w:rFonts w:ascii="宋体" w:hAnsi="宋体"/>
          <w:sz w:val="24"/>
          <w:szCs w:val="24"/>
        </w:rPr>
        <w:t>5.3</w:t>
      </w:r>
      <w:r>
        <w:rPr>
          <w:rFonts w:hint="eastAsia" w:ascii="宋体" w:hAnsi="宋体"/>
          <w:sz w:val="24"/>
          <w:szCs w:val="24"/>
        </w:rPr>
        <w:t>.1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t>采购信息查看</w:t>
      </w:r>
      <w:bookmarkEnd w:id="97"/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采购管理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【采购信息查看】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采购信息查看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1-1所示</w:t>
      </w:r>
      <w:r>
        <w:rPr>
          <w:rFonts w:hint="eastAsia" w:ascii="宋体" w:hAnsi="宋体"/>
          <w:sz w:val="24"/>
          <w:szCs w:val="24"/>
        </w:rPr>
        <w:t>。选择订单类型及订单明细状态查询对应状态下采购明细列表。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09296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</w:t>
      </w:r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/>
          <w:sz w:val="24"/>
          <w:szCs w:val="24"/>
        </w:rPr>
      </w:pPr>
      <w:bookmarkStart w:id="98" w:name="_Toc511924582"/>
      <w:r>
        <w:rPr>
          <w:rFonts w:ascii="宋体" w:hAnsi="宋体" w:cs="宋体"/>
          <w:sz w:val="24"/>
          <w:szCs w:val="24"/>
        </w:rPr>
        <w:t>5.4</w:t>
      </w:r>
      <w:r>
        <w:rPr>
          <w:rFonts w:hint="eastAsia" w:cs="宋体"/>
          <w:b w:val="0"/>
          <w:sz w:val="24"/>
          <w:szCs w:val="24"/>
        </w:rPr>
        <w:t xml:space="preserve"> </w:t>
      </w:r>
      <w:r>
        <w:rPr>
          <w:rFonts w:hint="eastAsia" w:cs="宋体"/>
          <w:sz w:val="24"/>
          <w:szCs w:val="24"/>
        </w:rPr>
        <w:t>采购配送管理</w:t>
      </w:r>
      <w:bookmarkEnd w:id="98"/>
    </w:p>
    <w:p>
      <w:pPr>
        <w:pStyle w:val="4"/>
        <w:rPr>
          <w:rFonts w:ascii="宋体" w:hAnsi="宋体"/>
          <w:sz w:val="24"/>
          <w:szCs w:val="24"/>
        </w:rPr>
      </w:pPr>
      <w:bookmarkStart w:id="99" w:name="_Toc511924583"/>
      <w:r>
        <w:rPr>
          <w:rFonts w:ascii="宋体" w:hAnsi="宋体"/>
          <w:sz w:val="24"/>
          <w:szCs w:val="24"/>
        </w:rPr>
        <w:t>5.4</w:t>
      </w:r>
      <w:r>
        <w:rPr>
          <w:rFonts w:hint="eastAsia" w:ascii="宋体" w:hAnsi="宋体"/>
          <w:sz w:val="24"/>
          <w:szCs w:val="24"/>
        </w:rPr>
        <w:t>.1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t>配送管理</w:t>
      </w:r>
      <w:bookmarkEnd w:id="99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</w:t>
      </w:r>
      <w:r>
        <w:rPr>
          <w:rFonts w:hint="eastAsia" w:ascii="宋体" w:hAnsi="宋体"/>
          <w:sz w:val="24"/>
          <w:szCs w:val="24"/>
        </w:rPr>
        <w:t>【采购配送管理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【配送管理】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配送管理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</w:t>
      </w:r>
      <w:r>
        <w:rPr>
          <w:rFonts w:hint="eastAsia" w:ascii="宋体" w:hAnsi="宋体"/>
          <w:sz w:val="24"/>
          <w:szCs w:val="24"/>
        </w:rPr>
        <w:t>5-</w:t>
      </w:r>
      <w:r>
        <w:rPr>
          <w:rFonts w:ascii="宋体" w:hAnsi="宋体"/>
          <w:sz w:val="24"/>
          <w:szCs w:val="24"/>
        </w:rPr>
        <w:t>4-1-1所示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34886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选择一种采购模式进入，点击【订单确认】按钮，进入订单确认页面。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266950"/>
            <wp:effectExtent l="0" t="0" r="254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rcRect b="59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订单编号、组件编号、产品名称、cod编号、产品规格、产品型号输入框中输入具体查询信息、选择订单提交时间、订单截止时间、产品分类及医疗机构，点击【查询】按钮，列表中展示查询结果数据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选择要确认的订单明细，点击【批量确认】按钮，如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1-3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1000125"/>
            <wp:effectExtent l="0" t="0" r="2540" b="952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rcRect t="12300" b="159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1-3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选择要确认的订单明细，填写拒绝原因，点击【批量拒绝】按钮，如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1-4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375535"/>
            <wp:effectExtent l="0" t="0" r="2540" b="571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1-4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点击【进入配送】按钮，进入待配送订单明细列表进行配送。如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1-5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538730"/>
            <wp:effectExtent l="0" t="0" r="2540" b="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-4-</w:t>
      </w:r>
      <w:r>
        <w:rPr>
          <w:rFonts w:ascii="宋体" w:hAnsi="宋体"/>
          <w:sz w:val="24"/>
          <w:szCs w:val="24"/>
        </w:rPr>
        <w:t>1-5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订单编号、组件编号、产品名称、cod编号、产品规格、产品型号输入框中输入具体查询信息、选择订单提交时间、订单截止时间、产品分类及医疗机构，点击【查询】按钮，列表中展示查询结果数据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选择要配送的订单明细，填写配送数量，发票号，并且添加条码后，点击【批量配送】按钮，配送勾选的订单明细，如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1-6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588260"/>
            <wp:effectExtent l="0" t="0" r="2540" b="254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1-6</w:t>
      </w:r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/>
          <w:sz w:val="24"/>
          <w:szCs w:val="24"/>
        </w:rPr>
      </w:pPr>
      <w:bookmarkStart w:id="100" w:name="_Toc511924584"/>
      <w:r>
        <w:rPr>
          <w:rFonts w:ascii="宋体" w:hAnsi="宋体" w:cs="宋体"/>
          <w:sz w:val="24"/>
          <w:szCs w:val="24"/>
        </w:rPr>
        <w:t>5.5</w:t>
      </w:r>
      <w:r>
        <w:rPr>
          <w:rFonts w:hint="eastAsia" w:cs="宋体"/>
          <w:b w:val="0"/>
          <w:sz w:val="24"/>
          <w:szCs w:val="24"/>
        </w:rPr>
        <w:t xml:space="preserve"> </w:t>
      </w:r>
      <w:r>
        <w:rPr>
          <w:rFonts w:hint="eastAsia" w:cs="宋体"/>
          <w:sz w:val="24"/>
          <w:szCs w:val="24"/>
        </w:rPr>
        <w:t>子用户管理</w:t>
      </w:r>
      <w:bookmarkEnd w:id="100"/>
    </w:p>
    <w:p>
      <w:pPr>
        <w:pStyle w:val="4"/>
        <w:rPr>
          <w:rFonts w:ascii="宋体" w:hAnsi="宋体"/>
          <w:sz w:val="24"/>
          <w:szCs w:val="24"/>
        </w:rPr>
      </w:pPr>
      <w:bookmarkStart w:id="101" w:name="_Toc511924585"/>
      <w:r>
        <w:rPr>
          <w:rFonts w:ascii="宋体" w:hAnsi="宋体"/>
          <w:sz w:val="24"/>
          <w:szCs w:val="24"/>
        </w:rPr>
        <w:t>5.5</w:t>
      </w:r>
      <w:r>
        <w:rPr>
          <w:rFonts w:hint="eastAsia" w:ascii="宋体" w:hAnsi="宋体"/>
          <w:sz w:val="24"/>
          <w:szCs w:val="24"/>
        </w:rPr>
        <w:t>.1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t>子用户列表</w:t>
      </w:r>
      <w:bookmarkEnd w:id="101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</w:t>
      </w:r>
      <w:r>
        <w:rPr>
          <w:rFonts w:hint="eastAsia" w:ascii="宋体" w:hAnsi="宋体"/>
          <w:sz w:val="24"/>
          <w:szCs w:val="24"/>
        </w:rPr>
        <w:t>【子用户管理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【子用户列表】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子用户列表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</w:t>
      </w:r>
      <w:r>
        <w:rPr>
          <w:rFonts w:hint="eastAsia" w:ascii="宋体" w:hAnsi="宋体"/>
          <w:sz w:val="24"/>
          <w:szCs w:val="24"/>
        </w:rPr>
        <w:t>5-</w:t>
      </w:r>
      <w:r>
        <w:rPr>
          <w:rFonts w:ascii="宋体" w:hAnsi="宋体"/>
          <w:sz w:val="24"/>
          <w:szCs w:val="24"/>
        </w:rPr>
        <w:t>5-1-1所示</w:t>
      </w:r>
      <w:r>
        <w:rPr>
          <w:rFonts w:hint="eastAsia" w:ascii="宋体" w:hAnsi="宋体"/>
          <w:sz w:val="24"/>
          <w:szCs w:val="24"/>
        </w:rPr>
        <w:t>。</w:t>
      </w: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子用户编号、子用户名称输入框中输入具体查询信息、选择状态，点击【查询】按钮，列表中展示查询结果数据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688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</w:t>
      </w:r>
      <w:r>
        <w:rPr>
          <w:rFonts w:hint="eastAsia" w:ascii="宋体" w:hAnsi="宋体"/>
          <w:sz w:val="24"/>
          <w:szCs w:val="24"/>
        </w:rPr>
        <w:t>5-</w:t>
      </w:r>
      <w:r>
        <w:rPr>
          <w:rFonts w:ascii="宋体" w:hAnsi="宋体"/>
          <w:sz w:val="24"/>
          <w:szCs w:val="24"/>
        </w:rPr>
        <w:t>5-1-1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点击【新增子用户】按钮，填写子用户编号，子用户名称，点击【保存】按钮，添加子用户。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5-1-2所示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7292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5-1-2</w:t>
      </w:r>
    </w:p>
    <w:p>
      <w:pPr>
        <w:spacing w:line="360" w:lineRule="auto"/>
        <w:rPr>
          <w:rFonts w:ascii="宋体" w:hAnsi="宋体"/>
        </w:rPr>
      </w:pP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列表中勾选子用户信息，点击【批量禁用子用户】，禁用所选子用户。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列表中勾选子用户信息，点击【批量启用子用户】，启用所选子用户。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列表中勾选子用户信息，点击【批量修改权限】，为所选子用户配置权限，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5-1-3所示</w:t>
      </w:r>
      <w:r>
        <w:rPr>
          <w:rFonts w:hint="eastAsia" w:ascii="宋体" w:hAnsi="宋体"/>
        </w:rPr>
        <w:t>。勾选权限信息，点击【保存】按钮，将所选权限配置到该子用户账号上。</w:t>
      </w:r>
    </w:p>
    <w:p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1361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5-1-3</w:t>
      </w:r>
    </w:p>
    <w:p>
      <w:pPr>
        <w:spacing w:line="360" w:lineRule="auto"/>
        <w:rPr>
          <w:rFonts w:ascii="宋体" w:hAnsi="宋体"/>
        </w:rPr>
      </w:pPr>
    </w:p>
    <w:p>
      <w:pPr>
        <w:spacing w:line="360" w:lineRule="auto"/>
        <w:rPr>
          <w:rFonts w:ascii="宋体" w:hAnsi="宋体"/>
        </w:rPr>
      </w:pPr>
    </w:p>
    <w:p>
      <w:pPr>
        <w:rPr>
          <w:rFonts w:ascii="宋体" w:hAnsi="宋体"/>
        </w:rPr>
      </w:pPr>
    </w:p>
    <w:sectPr>
      <w:footerReference r:id="rId8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72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lETlD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skhDN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TfQ40RAgAACQQAAA4AAABkcnMvZTJvRG9jLnhtbK1TzY7TMBC+I/EO&#10;lu80aVcs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CrN5RoprCj0/dvpx+/Tj+/EvhAUGv9DHkbi8zQvTUdFj34PZxx&#10;7q5yKn4xEUEcVB8v9IouEB4vTSfTaY4QR2z4AX72eN06H94Jo0g0Cuqwv0QrO6x96FOHlFhNm1Uj&#10;Zdqh1KQt6PXV6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xN9Dj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</w:pPr>
    <w:r>
      <w:rPr>
        <w:rFonts w:hint="eastAsia"/>
      </w:rPr>
      <w:drawing>
        <wp:inline distT="0" distB="0" distL="0" distR="0">
          <wp:extent cx="1964055" cy="208915"/>
          <wp:effectExtent l="0" t="0" r="0" b="635"/>
          <wp:docPr id="56" name="图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3531" cy="213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&lt;贵州省高值医用耗材集中采购系统</w:t>
    </w:r>
    <w:r>
      <w:t>指南</w:t>
    </w:r>
    <w:r>
      <w:rPr>
        <w:rFonts w:hint="eastAsia"/>
      </w:rPr>
      <w:t>&gt;&lt;V2.0&gt;</w:t>
    </w:r>
  </w:p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00AD"/>
    <w:multiLevelType w:val="multilevel"/>
    <w:tmpl w:val="053500A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B23457F"/>
    <w:multiLevelType w:val="multilevel"/>
    <w:tmpl w:val="4B23457F"/>
    <w:lvl w:ilvl="0" w:tentative="0">
      <w:start w:val="1"/>
      <w:numFmt w:val="japaneseCounting"/>
      <w:lvlText w:val="第%1章"/>
      <w:lvlJc w:val="left"/>
      <w:pPr>
        <w:ind w:left="990" w:hanging="9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13"/>
    <w:rsid w:val="000572A3"/>
    <w:rsid w:val="00095608"/>
    <w:rsid w:val="001F14F6"/>
    <w:rsid w:val="00210199"/>
    <w:rsid w:val="00250797"/>
    <w:rsid w:val="00252D6F"/>
    <w:rsid w:val="00262202"/>
    <w:rsid w:val="002675D2"/>
    <w:rsid w:val="002F1CE6"/>
    <w:rsid w:val="003017C8"/>
    <w:rsid w:val="00355173"/>
    <w:rsid w:val="00487F67"/>
    <w:rsid w:val="004D1897"/>
    <w:rsid w:val="004E1E82"/>
    <w:rsid w:val="0064690A"/>
    <w:rsid w:val="00694EA0"/>
    <w:rsid w:val="006E7968"/>
    <w:rsid w:val="006F6A73"/>
    <w:rsid w:val="00782CF7"/>
    <w:rsid w:val="007C6DC6"/>
    <w:rsid w:val="007F78C1"/>
    <w:rsid w:val="00837E17"/>
    <w:rsid w:val="008B7B49"/>
    <w:rsid w:val="00A6483B"/>
    <w:rsid w:val="00AB4A17"/>
    <w:rsid w:val="00AC56CB"/>
    <w:rsid w:val="00AF7CEC"/>
    <w:rsid w:val="00B20EA9"/>
    <w:rsid w:val="00B632CF"/>
    <w:rsid w:val="00BC2AC3"/>
    <w:rsid w:val="00C631C7"/>
    <w:rsid w:val="00CF5013"/>
    <w:rsid w:val="00D36635"/>
    <w:rsid w:val="00DB78C7"/>
    <w:rsid w:val="00E31BCE"/>
    <w:rsid w:val="00E71BFE"/>
    <w:rsid w:val="00E8674F"/>
    <w:rsid w:val="00EC4B6A"/>
    <w:rsid w:val="25E470EA"/>
    <w:rsid w:val="31C1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cs="黑体"/>
      <w:b/>
      <w:bCs/>
      <w:sz w:val="32"/>
      <w:szCs w:val="32"/>
    </w:rPr>
  </w:style>
  <w:style w:type="paragraph" w:styleId="4">
    <w:name w:val="heading 3"/>
    <w:basedOn w:val="1"/>
    <w:next w:val="1"/>
    <w:link w:val="17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Calibri" w:hAnsi="Calibri"/>
      <w:kern w:val="0"/>
      <w:sz w:val="22"/>
      <w:szCs w:val="22"/>
    </w:rPr>
  </w:style>
  <w:style w:type="character" w:styleId="11">
    <w:name w:val="Hyperlink"/>
    <w:unhideWhenUsed/>
    <w:qFormat/>
    <w:uiPriority w:val="99"/>
    <w:rPr>
      <w:color w:val="0563C1"/>
      <w:u w:val="single"/>
    </w:rPr>
  </w:style>
  <w:style w:type="character" w:customStyle="1" w:styleId="13">
    <w:name w:val="Header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Footer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Heading 1 Char"/>
    <w:basedOn w:val="10"/>
    <w:link w:val="2"/>
    <w:qFormat/>
    <w:uiPriority w:val="0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16">
    <w:name w:val="Heading 2 Char"/>
    <w:basedOn w:val="10"/>
    <w:link w:val="3"/>
    <w:qFormat/>
    <w:uiPriority w:val="9"/>
    <w:rPr>
      <w:rFonts w:ascii="Calibri Light" w:hAnsi="Calibri Light" w:eastAsia="宋体" w:cs="黑体"/>
      <w:b/>
      <w:bCs/>
      <w:sz w:val="32"/>
      <w:szCs w:val="32"/>
    </w:rPr>
  </w:style>
  <w:style w:type="character" w:customStyle="1" w:styleId="17">
    <w:name w:val="Heading 3 Char"/>
    <w:basedOn w:val="10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my</Company>
  <Pages>16</Pages>
  <Words>670</Words>
  <Characters>3820</Characters>
  <Lines>31</Lines>
  <Paragraphs>8</Paragraphs>
  <ScaleCrop>false</ScaleCrop>
  <LinksUpToDate>false</LinksUpToDate>
  <CharactersWithSpaces>4482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2018-03-04T04:31:00Z</dcterms:created>
  <dc:creator>my</dc:creator>
  <cp:lastModifiedBy>商品运营-黄丽钦</cp:lastModifiedBy>
  <dcterms:modified xsi:type="dcterms:W3CDTF">2018-04-27T07:25:08Z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